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Jeddah</w:t>
      </w:r>
    </w:p>
    <w:bookmarkStart w:id="20" w:name="X90375ea0fb21055697b725d9bafb4bfc29c2abf"/>
    <w:p>
      <w:pPr>
        <w:pStyle w:val="Heading1"/>
      </w:pPr>
      <w:r>
        <w:t xml:space="preserve">Experiment Protocol: Optimizing Sales Executive Engagement Strategies in Jeddah, Saudi Arabia</w:t>
      </w:r>
    </w:p>
    <w:p>
      <w:pPr>
        <w:pStyle w:val="FirstParagraph"/>
      </w:pPr>
      <w:r>
        <w:rPr>
          <w:bCs/>
          <w:b/>
        </w:rPr>
        <w:t xml:space="preserve">Protocol ID:</w:t>
      </w:r>
      <w:r>
        <w:t xml:space="preserve"> </w:t>
      </w:r>
      <w:r>
        <w:t xml:space="preserve">SA-JED-SE-2024-001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Jeddah, Kingdom of Saudi Arabia</w:t>
      </w:r>
    </w:p>
    <w:p>
      <w:pPr>
        <w:pStyle w:val="BodyText"/>
      </w:pPr>
      <w:r>
        <w:rPr>
          <w:bCs/>
          <w:b/>
        </w:rPr>
        <w:t xml:space="preserve">Subject:</w:t>
      </w:r>
      <w:r>
        <w:t xml:space="preserve"> </w:t>
      </w:r>
      <w:r>
        <w:t xml:space="preserve">Sales Executive Performance and Client Acquisition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new engagement strategies for Sales Executives operating within the commercial landscape of Jeddah, Saudi Arabia. Jeddah serves as the commercial gateway to the Kingdom and a critical hub for trade, logistics, and emerging industries. The cultural and business environment in Jeddah is distinct, characterized by a blend of traditional relationship-based commerce and rapid modernization under Vision 2030.</w:t>
      </w:r>
    </w:p>
    <w:p>
      <w:pPr>
        <w:pStyle w:val="BodyText"/>
      </w:pPr>
      <w:r>
        <w:t xml:space="preserve">The objective of this experiment is to determine which sales methodologies yield the highest conversion rates and client satisfaction scores when applied by Sales Executives in this specific geographic and cultural context. Understanding the nuances of the Jeddah market is essential for any organization aiming to scale its operations in the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effectiveness of digital-first outreach versus traditional face-to-face networking for Sales Executives in Jeddah.</w:t>
      </w:r>
    </w:p>
    <w:p>
      <w:pPr>
        <w:numPr>
          <w:ilvl w:val="0"/>
          <w:numId w:val="1001"/>
        </w:numPr>
        <w:pStyle w:val="Compact"/>
      </w:pPr>
      <w:r>
        <w:t xml:space="preserve">To measure the impact of culturally adapted communication styles on trust-building with local stakeholders.</w:t>
      </w:r>
    </w:p>
    <w:p>
      <w:pPr>
        <w:numPr>
          <w:ilvl w:val="0"/>
          <w:numId w:val="1001"/>
        </w:numPr>
        <w:pStyle w:val="Compact"/>
      </w:pPr>
      <w:r>
        <w:t xml:space="preserve">To identify the optimal timing and frequency of follow-ups that align with the business rhythms of Jeddah.</w:t>
      </w:r>
    </w:p>
    <w:p>
      <w:pPr>
        <w:numPr>
          <w:ilvl w:val="0"/>
          <w:numId w:val="1001"/>
        </w:numPr>
        <w:pStyle w:val="Compact"/>
      </w:pPr>
      <w:r>
        <w:t xml:space="preserve">To assess the correlation between Sales Executive adaptability and revenue generation in the Saudi market.</w:t>
      </w:r>
    </w:p>
    <w:bookmarkEnd w:id="22"/>
    <w:bookmarkStart w:id="23" w:name="scope-and-target-audience"/>
    <w:p>
      <w:pPr>
        <w:pStyle w:val="Heading2"/>
      </w:pPr>
      <w:r>
        <w:t xml:space="preserve">3. Scope and Target Audience</w:t>
      </w:r>
    </w:p>
    <w:p>
      <w:pPr>
        <w:pStyle w:val="FirstParagraph"/>
      </w:pPr>
      <w:r>
        <w:t xml:space="preserve">This experiment is strictly limited to the city of Jeddah and its immediate metropolitan area. The target audience for the Sales Executives includes:</w:t>
      </w:r>
    </w:p>
    <w:p>
      <w:pPr>
        <w:numPr>
          <w:ilvl w:val="0"/>
          <w:numId w:val="1002"/>
        </w:numPr>
        <w:pStyle w:val="Compact"/>
      </w:pPr>
      <w:r>
        <w:t xml:space="preserve">Small and Medium Enterprises (SMEs) in the retail and logistics sectors.</w:t>
      </w:r>
    </w:p>
    <w:p>
      <w:pPr>
        <w:numPr>
          <w:ilvl w:val="0"/>
          <w:numId w:val="1002"/>
        </w:numPr>
        <w:pStyle w:val="Compact"/>
      </w:pPr>
      <w:r>
        <w:t xml:space="preserve">Corporate entities involved in construction and infrastructure development.</w:t>
      </w:r>
    </w:p>
    <w:p>
      <w:pPr>
        <w:numPr>
          <w:ilvl w:val="0"/>
          <w:numId w:val="1002"/>
        </w:numPr>
        <w:pStyle w:val="Compact"/>
      </w:pPr>
      <w:r>
        <w:t xml:space="preserve">Government-affiliated entities participating in privatization initiatives.</w:t>
      </w:r>
    </w:p>
    <w:p>
      <w:pPr>
        <w:pStyle w:val="FirstParagraph"/>
      </w:pPr>
      <w:r>
        <w:t xml:space="preserve">The Sales Executives participating in this study must have a minimum of two years of experience and a working proficiency in Arabic, as language fluency is a critical variable in the Saudi business environment.</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study will utilize a randomized controlled trial (RCT) design. A cohort of 40 Sales Executives will be divided into two groups of 20. Both groups will operate within the same market segments in Jeddah to ensure environmental consistency.</w:t>
      </w:r>
    </w:p>
    <w:bookmarkEnd w:id="24"/>
    <w:bookmarkStart w:id="25" w:name="Xadbbadbfcfa1de1034de28654db539391c48518"/>
    <w:p>
      <w:pPr>
        <w:pStyle w:val="Heading3"/>
      </w:pPr>
      <w:r>
        <w:t xml:space="preserve">4.2 Group A: Traditional Relationship-Based Approach</w:t>
      </w:r>
    </w:p>
    <w:p>
      <w:pPr>
        <w:pStyle w:val="FirstParagraph"/>
      </w:pPr>
      <w:r>
        <w:t xml:space="preserve">Sales Executives in Group A will focus on high-touch, relationship-driven strategies. This includes:</w:t>
      </w:r>
    </w:p>
    <w:p>
      <w:pPr>
        <w:numPr>
          <w:ilvl w:val="0"/>
          <w:numId w:val="1003"/>
        </w:numPr>
        <w:pStyle w:val="Compact"/>
      </w:pPr>
      <w:r>
        <w:t xml:space="preserve">Scheduling in-person meetings at client offices or neutral venues such as business lounges in Jeddah.</w:t>
      </w:r>
    </w:p>
    <w:p>
      <w:pPr>
        <w:numPr>
          <w:ilvl w:val="0"/>
          <w:numId w:val="1003"/>
        </w:numPr>
        <w:pStyle w:val="Compact"/>
      </w:pPr>
      <w:r>
        <w:t xml:space="preserve">Participating in local networking events and chamber of commerce gatherings.</w:t>
      </w:r>
    </w:p>
    <w:p>
      <w:pPr>
        <w:numPr>
          <w:ilvl w:val="0"/>
          <w:numId w:val="1003"/>
        </w:numPr>
        <w:pStyle w:val="Compact"/>
      </w:pPr>
      <w:r>
        <w:t xml:space="preserve">Emphasizing personal rapport and long-term partnership over immediate transactional gains.</w:t>
      </w:r>
    </w:p>
    <w:bookmarkEnd w:id="25"/>
    <w:bookmarkStart w:id="26" w:name="group-b-hybrid-digital-first-approach"/>
    <w:p>
      <w:pPr>
        <w:pStyle w:val="Heading3"/>
      </w:pPr>
      <w:r>
        <w:t xml:space="preserve">4.3 Group B: Hybrid Digital-First Approach</w:t>
      </w:r>
    </w:p>
    <w:p>
      <w:pPr>
        <w:pStyle w:val="FirstParagraph"/>
      </w:pPr>
      <w:r>
        <w:t xml:space="preserve">Sales Executives in Group B will utilize a technology-enabled strategy tailored to the high smartphone penetration in Saudi Arabia. This includes:</w:t>
      </w:r>
    </w:p>
    <w:p>
      <w:pPr>
        <w:numPr>
          <w:ilvl w:val="0"/>
          <w:numId w:val="1004"/>
        </w:numPr>
        <w:pStyle w:val="Compact"/>
      </w:pPr>
      <w:r>
        <w:t xml:space="preserve">Initial outreach via WhatsApp Business and LinkedIn, followed by virtual presentations.</w:t>
      </w:r>
    </w:p>
    <w:p>
      <w:pPr>
        <w:numPr>
          <w:ilvl w:val="0"/>
          <w:numId w:val="1004"/>
        </w:numPr>
        <w:pStyle w:val="Compact"/>
      </w:pPr>
      <w:r>
        <w:t xml:space="preserve">Use of CRM tools to automate follow-ups while maintaining a personalized tone.</w:t>
      </w:r>
    </w:p>
    <w:p>
      <w:pPr>
        <w:numPr>
          <w:ilvl w:val="0"/>
          <w:numId w:val="1004"/>
        </w:numPr>
        <w:pStyle w:val="Compact"/>
      </w:pPr>
      <w:r>
        <w:t xml:space="preserve">In-person meetings reserved only for the final stages of the sales cycle.</w:t>
      </w:r>
    </w:p>
    <w:bookmarkEnd w:id="26"/>
    <w:bookmarkEnd w:id="27"/>
    <w:bookmarkStart w:id="28" w:name="cultural-and-regulatory-considerations"/>
    <w:p>
      <w:pPr>
        <w:pStyle w:val="Heading2"/>
      </w:pPr>
      <w:r>
        <w:t xml:space="preserve">5. Cultural and Regulatory Considerations</w:t>
      </w:r>
    </w:p>
    <w:p>
      <w:pPr>
        <w:pStyle w:val="FirstParagraph"/>
      </w:pPr>
      <w:r>
        <w:t xml:space="preserve">Operating in Saudi Arabia requires strict adherence to local customs and regulations. This protocol mandates that all Sales Executives:</w:t>
      </w:r>
    </w:p>
    <w:p>
      <w:pPr>
        <w:numPr>
          <w:ilvl w:val="0"/>
          <w:numId w:val="1005"/>
        </w:numPr>
        <w:pStyle w:val="Compact"/>
      </w:pPr>
      <w:r>
        <w:t xml:space="preserve">Respect prayer times, particularly during the Friday congregational prayers, by avoiding scheduling calls or meetings during these windows.</w:t>
      </w:r>
    </w:p>
    <w:p>
      <w:pPr>
        <w:numPr>
          <w:ilvl w:val="0"/>
          <w:numId w:val="1005"/>
        </w:numPr>
        <w:pStyle w:val="Compact"/>
      </w:pPr>
      <w:r>
        <w:t xml:space="preserve">Adhere to the Kingdom's data privacy laws when collecting client information.</w:t>
      </w:r>
    </w:p>
    <w:p>
      <w:pPr>
        <w:numPr>
          <w:ilvl w:val="0"/>
          <w:numId w:val="1005"/>
        </w:numPr>
        <w:pStyle w:val="Compact"/>
      </w:pPr>
      <w:r>
        <w:t xml:space="preserve">Understand the hierarchy in Saudi business culture, ensuring that proposals are directed to the appropriate decision-makers.</w:t>
      </w:r>
    </w:p>
    <w:p>
      <w:pPr>
        <w:numPr>
          <w:ilvl w:val="0"/>
          <w:numId w:val="1005"/>
        </w:numPr>
        <w:pStyle w:val="Compact"/>
      </w:pPr>
      <w:r>
        <w:t xml:space="preserve">Be mindful of the upcoming and ongoing changes in labor laws and Saudization (Nitaqat) requirements that may affect client hiring and procurement processes.</w:t>
      </w:r>
    </w:p>
    <w:bookmarkEnd w:id="28"/>
    <w:bookmarkStart w:id="29" w:name="data-collection-and-metrics"/>
    <w:p>
      <w:pPr>
        <w:pStyle w:val="Heading2"/>
      </w:pPr>
      <w:r>
        <w:t xml:space="preserve">6. Data Collection and Metrics</w:t>
      </w:r>
    </w:p>
    <w:p>
      <w:pPr>
        <w:pStyle w:val="FirstParagraph"/>
      </w:pPr>
      <w:r>
        <w:t xml:space="preserve">Data will be collected over a period of 90 days. The following Key Performance Indicators (KPIs) will be monitored: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Conversion Rate</w:t>
            </w:r>
          </w:p>
        </w:tc>
        <w:tc>
          <w:tcPr/>
          <w:p>
            <w:pPr>
              <w:pStyle w:val="Compact"/>
              <w:jc w:val="left"/>
            </w:pPr>
            <w:r>
              <w:t xml:space="preserve">Percentage of leads converted into paying clients.</w:t>
            </w:r>
          </w:p>
        </w:tc>
      </w:tr>
      <w:tr>
        <w:tc>
          <w:tcPr/>
          <w:p>
            <w:pPr>
              <w:pStyle w:val="Compact"/>
              <w:jc w:val="left"/>
            </w:pPr>
            <w:r>
              <w:t xml:space="preserve">Average Deal Size</w:t>
            </w:r>
          </w:p>
        </w:tc>
        <w:tc>
          <w:tcPr/>
          <w:p>
            <w:pPr>
              <w:pStyle w:val="Compact"/>
              <w:jc w:val="left"/>
            </w:pPr>
            <w:r>
              <w:t xml:space="preserve">Total revenue generated per closed deal in SAR.</w:t>
            </w:r>
          </w:p>
        </w:tc>
      </w:tr>
      <w:tr>
        <w:tc>
          <w:tcPr/>
          <w:p>
            <w:pPr>
              <w:pStyle w:val="Compact"/>
              <w:jc w:val="left"/>
            </w:pPr>
            <w:r>
              <w:t xml:space="preserve">Sales Cycle Length</w:t>
            </w:r>
          </w:p>
        </w:tc>
        <w:tc>
          <w:tcPr/>
          <w:p>
            <w:pPr>
              <w:pStyle w:val="Compact"/>
              <w:jc w:val="left"/>
            </w:pPr>
            <w:r>
              <w:t xml:space="preserve">Time taken from initial contact to contract signing.</w:t>
            </w:r>
          </w:p>
        </w:tc>
      </w:tr>
      <w:tr>
        <w:tc>
          <w:tcPr/>
          <w:p>
            <w:pPr>
              <w:pStyle w:val="Compact"/>
              <w:jc w:val="left"/>
            </w:pPr>
            <w:r>
              <w:t xml:space="preserve">Client Satisfaction Score (CSAT)</w:t>
            </w:r>
          </w:p>
        </w:tc>
        <w:tc>
          <w:tcPr/>
          <w:p>
            <w:pPr>
              <w:pStyle w:val="Compact"/>
              <w:jc w:val="left"/>
            </w:pPr>
            <w:r>
              <w:t xml:space="preserve">Post-sale survey results regarding the Sales Executive's professionalism.</w:t>
            </w:r>
          </w:p>
        </w:tc>
      </w:tr>
    </w:tbl>
    <w:bookmarkEnd w:id="29"/>
    <w:bookmarkStart w:id="30" w:name="timeline"/>
    <w:p>
      <w:pPr>
        <w:pStyle w:val="Heading2"/>
      </w:pPr>
      <w:r>
        <w:t xml:space="preserve">7. Timeline</w:t>
      </w:r>
    </w:p>
    <w:p>
      <w:pPr>
        <w:numPr>
          <w:ilvl w:val="0"/>
          <w:numId w:val="1006"/>
        </w:numPr>
        <w:pStyle w:val="Compact"/>
      </w:pPr>
      <w:r>
        <w:rPr>
          <w:bCs/>
          <w:b/>
        </w:rPr>
        <w:t xml:space="preserve">Weeks 1-2:</w:t>
      </w:r>
      <w:r>
        <w:t xml:space="preserve"> </w:t>
      </w:r>
      <w:r>
        <w:t xml:space="preserve">Training of Sales Executives on protocol specifics and cultural nuances.</w:t>
      </w:r>
    </w:p>
    <w:p>
      <w:pPr>
        <w:numPr>
          <w:ilvl w:val="0"/>
          <w:numId w:val="1006"/>
        </w:numPr>
        <w:pStyle w:val="Compact"/>
      </w:pPr>
      <w:r>
        <w:rPr>
          <w:bCs/>
          <w:b/>
        </w:rPr>
        <w:t xml:space="preserve">Weeks 3-14:</w:t>
      </w:r>
      <w:r>
        <w:t xml:space="preserve"> </w:t>
      </w:r>
      <w:r>
        <w:t xml:space="preserve">Active execution of sales strategies by both groups.</w:t>
      </w:r>
    </w:p>
    <w:p>
      <w:pPr>
        <w:numPr>
          <w:ilvl w:val="0"/>
          <w:numId w:val="1006"/>
        </w:numPr>
        <w:pStyle w:val="Compact"/>
      </w:pPr>
      <w:r>
        <w:rPr>
          <w:bCs/>
          <w:b/>
        </w:rPr>
        <w:t xml:space="preserve">Weeks 15-16:</w:t>
      </w:r>
      <w:r>
        <w:t xml:space="preserve"> </w:t>
      </w:r>
      <w:r>
        <w:t xml:space="preserve">Data consolidation, analysis, and reporting.</w:t>
      </w:r>
    </w:p>
    <w:bookmarkEnd w:id="30"/>
    <w:bookmarkStart w:id="31" w:name="ethical-considerations"/>
    <w:p>
      <w:pPr>
        <w:pStyle w:val="Heading2"/>
      </w:pPr>
      <w:r>
        <w:t xml:space="preserve">8. Ethical Considerations</w:t>
      </w:r>
    </w:p>
    <w:p>
      <w:pPr>
        <w:pStyle w:val="FirstParagraph"/>
      </w:pPr>
      <w:r>
        <w:t xml:space="preserve">All participants (Sales Executives and clients) will be informed that their data is being used for performance optimization. Client interactions will remain transparent, with no deceptive practices employed. The experiment will comply with all ethical standards set by the Saudi Arabian General Investment Authority (SAGIA) and local labor regulations.</w:t>
      </w:r>
    </w:p>
    <w:bookmarkEnd w:id="31"/>
    <w:bookmarkStart w:id="32" w:name="conclusion"/>
    <w:p>
      <w:pPr>
        <w:pStyle w:val="Heading2"/>
      </w:pPr>
      <w:r>
        <w:t xml:space="preserve">9. Conclusion</w:t>
      </w:r>
    </w:p>
    <w:p>
      <w:pPr>
        <w:pStyle w:val="FirstParagraph"/>
      </w:pPr>
      <w:r>
        <w:t xml:space="preserve">This Experiment Protocol provides a structured framework for analyzing the effectiveness of different sales methodologies in Jeddah. By rigorously testing these approaches, the organization aims to refine its Sales Executive training programs, ensuring they are perfectly aligned with the dynamic and culturally rich business environment of Saudi Arabia. The insights gained will be instrumental in driving sustainable growth and fostering strong, lasting business relationships in the region.</w:t>
      </w:r>
    </w:p>
    <w:bookmarkEnd w:id="32"/>
    <w:p>
      <w:pPr>
        <w:pStyle w:val="BodyText"/>
      </w:pPr>
      <w:r>
        <w:t xml:space="preserve">Document Version: 1.0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Jeddah</dc:title>
  <dc:creator/>
  <dc:language>en</dc:language>
  <cp:keywords/>
  <dcterms:created xsi:type="dcterms:W3CDTF">2026-10-10T08:32:48Z</dcterms:created>
  <dcterms:modified xsi:type="dcterms:W3CDTF">2026-10-10T08:32:48Z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