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Riyadh</w:t>
      </w:r>
    </w:p>
    <w:bookmarkStart w:id="35" w:name="X148b661f24170a767728463c28ab5000ddb3f39"/>
    <w:p>
      <w:pPr>
        <w:pStyle w:val="Heading1"/>
      </w:pPr>
      <w:r>
        <w:t xml:space="preserve">Experiment Protocol: Sales Executive Engagement Strategies in Saudi Arabia Riyadh</w:t>
      </w:r>
    </w:p>
    <w:p>
      <w:pPr>
        <w:pStyle w:val="FirstParagraph"/>
      </w:pPr>
      <w:r>
        <w:rPr>
          <w:bCs/>
          <w:b/>
        </w:rPr>
        <w:t xml:space="preserve">Document ID:</w:t>
      </w:r>
      <w:r>
        <w:t xml:space="preserve"> </w:t>
      </w:r>
      <w:r>
        <w:t xml:space="preserve">EXP-SA-RYD-2024-001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Riyadh, Saudi Arabia</w:t>
      </w:r>
    </w:p>
    <w:p>
      <w:pPr>
        <w:pStyle w:val="BodyText"/>
      </w:pPr>
      <w:r>
        <w:rPr>
          <w:bCs/>
          <w:b/>
        </w:rPr>
        <w:t xml:space="preserve">Target Role:</w:t>
      </w:r>
      <w:r>
        <w:t xml:space="preserve"> </w:t>
      </w:r>
      <w:r>
        <w:t xml:space="preserve">Sales Executive</w:t>
      </w:r>
    </w:p>
    <w:p>
      <w:pPr>
        <w:pStyle w:val="BodyText"/>
      </w:pPr>
      <w:r>
        <w:rPr>
          <w:bCs/>
          <w:b/>
        </w:rPr>
        <w:t xml:space="preserve">Classification:</w:t>
      </w:r>
      <w:r>
        <w:t xml:space="preserve"> </w:t>
      </w:r>
      <w:r>
        <w:t xml:space="preserve">Internal Use Only</w:t>
      </w:r>
    </w:p>
    <w:bookmarkStart w:id="20" w:name="introduction-and-background"/>
    <w:p>
      <w:pPr>
        <w:pStyle w:val="Heading2"/>
      </w:pPr>
      <w:r>
        <w:t xml:space="preserve">1. Introduction and Background</w:t>
      </w:r>
    </w:p>
    <w:p>
      <w:pPr>
        <w:pStyle w:val="FirstParagraph"/>
      </w:pPr>
      <w:r>
        <w:t xml:space="preserve">This Experiment Protocol outlines the methodology for testing new sales engagement strategies specifically tailored for Sales Executives operating within the dynamic business environment of Riyadh, Saudi Arabia. As the capital city and economic hub of the Kingdom, Riyadh presents unique cultural, regulatory, and market conditions that significantly influence B2B and B2C sales dynamics.</w:t>
      </w:r>
    </w:p>
    <w:p>
      <w:pPr>
        <w:pStyle w:val="BodyText"/>
      </w:pPr>
      <w:r>
        <w:t xml:space="preserve">The rapid transformation driven by Vision 2030 has created a surge in demand across sectors such as technology, construction, healthcare, and financial services. However, traditional sales methodologies often fail to account for the nuanced relationship-building culture prevalent in Saudi Arabia. This experiment aims to quantify the impact of culturally adapted sales techniques on conversion rates, customer satisfaction, and deal velocity for Sales Executives in this region.</w:t>
      </w:r>
    </w:p>
    <w:bookmarkEnd w:id="20"/>
    <w:bookmarkStart w:id="21" w:name="objectives"/>
    <w:p>
      <w:pPr>
        <w:pStyle w:val="Heading2"/>
      </w:pPr>
      <w:r>
        <w:t xml:space="preserve">2. Objectives</w:t>
      </w:r>
    </w:p>
    <w:p>
      <w:pPr>
        <w:pStyle w:val="FirstParagraph"/>
      </w:pPr>
      <w:r>
        <w:t xml:space="preserve">The primary objective of this experiment is to determine whether a hybrid sales approach—combining digital efficiency with high-touch, relationship-oriented engagement—outperforms standard transactional sales models for Sales Executives in Riyadh.</w:t>
      </w:r>
    </w:p>
    <w:p>
      <w:pPr>
        <w:pStyle w:val="BodyText"/>
      </w:pPr>
      <w:r>
        <w:t xml:space="preserve">Specific goals include:</w:t>
      </w:r>
    </w:p>
    <w:p>
      <w:pPr>
        <w:numPr>
          <w:ilvl w:val="0"/>
          <w:numId w:val="1001"/>
        </w:numPr>
        <w:pStyle w:val="Compact"/>
      </w:pPr>
      <w:r>
        <w:t xml:space="preserve">Measuring the effect of localized communication styles on initial client meetings.</w:t>
      </w:r>
    </w:p>
    <w:p>
      <w:pPr>
        <w:numPr>
          <w:ilvl w:val="0"/>
          <w:numId w:val="1001"/>
        </w:numPr>
        <w:pStyle w:val="Compact"/>
      </w:pPr>
      <w:r>
        <w:t xml:space="preserve">Evaluating the impact of timing sales follow-ups according to local business hours and cultural norms.</w:t>
      </w:r>
    </w:p>
    <w:p>
      <w:pPr>
        <w:numPr>
          <w:ilvl w:val="0"/>
          <w:numId w:val="1001"/>
        </w:numPr>
        <w:pStyle w:val="Compact"/>
      </w:pPr>
      <w:r>
        <w:t xml:space="preserve">Assessing the effectiveness of Arabic-language collateral versus English-only materials.</w:t>
      </w:r>
    </w:p>
    <w:p>
      <w:pPr>
        <w:numPr>
          <w:ilvl w:val="0"/>
          <w:numId w:val="1001"/>
        </w:numPr>
        <w:pStyle w:val="Compact"/>
      </w:pPr>
      <w:r>
        <w:t xml:space="preserve">Determining if personalized value propositions aligned with Vision 2030 goals increase deal closure rates.</w:t>
      </w:r>
    </w:p>
    <w:bookmarkEnd w:id="21"/>
    <w:bookmarkStart w:id="22" w:name="hypothesis"/>
    <w:p>
      <w:pPr>
        <w:pStyle w:val="Heading2"/>
      </w:pPr>
      <w:r>
        <w:t xml:space="preserve">3. Hypothesis</w:t>
      </w:r>
    </w:p>
    <w:p>
      <w:pPr>
        <w:pStyle w:val="FirstParagraph"/>
      </w:pPr>
      <w:r>
        <w:rPr>
          <w:bCs/>
          <w:b/>
        </w:rPr>
        <w:t xml:space="preserve">Hypothesis:</w:t>
      </w:r>
      <w:r>
        <w:t xml:space="preserve"> </w:t>
      </w:r>
      <w:r>
        <w:t xml:space="preserve">Sales Executives in Riyadh who utilize a culturally attuned, relationship-first approach, supported by bilingual materials and strategic timing aligned with local customs, will achieve a 25% higher conversion rate and a 15% shorter sales cycle compared to those using standardized global sales scripts.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employ a randomized controlled trial (RCT) design. The study will run for a period of 12 weeks, covering two full lunar months to account for any religious or cultural calendar variations.</w:t>
      </w:r>
    </w:p>
    <w:bookmarkEnd w:id="23"/>
    <w:bookmarkStart w:id="24" w:name="participants"/>
    <w:p>
      <w:pPr>
        <w:pStyle w:val="Heading3"/>
      </w:pPr>
      <w:r>
        <w:t xml:space="preserve">4.2. Participants</w:t>
      </w:r>
    </w:p>
    <w:p>
      <w:pPr>
        <w:pStyle w:val="FirstParagraph"/>
      </w:pPr>
      <w:r>
        <w:t xml:space="preserve">The study will involve 60 Sales Executives currently employed in Riyadh-based organizations. Participants will be randomly assigned to two groups:</w:t>
      </w:r>
    </w:p>
    <w:p>
      <w:pPr>
        <w:numPr>
          <w:ilvl w:val="0"/>
          <w:numId w:val="1002"/>
        </w:numPr>
        <w:pStyle w:val="Compact"/>
      </w:pPr>
      <w:r>
        <w:rPr>
          <w:bCs/>
          <w:b/>
        </w:rPr>
        <w:t xml:space="preserve">Control Group (n=30):</w:t>
      </w:r>
      <w:r>
        <w:t xml:space="preserve"> </w:t>
      </w:r>
      <w:r>
        <w:t xml:space="preserve">Will continue using the company’s standard global sales playbook, which emphasizes efficiency, direct communication, and English-centric materials.</w:t>
      </w:r>
    </w:p>
    <w:p>
      <w:pPr>
        <w:numPr>
          <w:ilvl w:val="0"/>
          <w:numId w:val="1002"/>
        </w:numPr>
        <w:pStyle w:val="Compact"/>
      </w:pPr>
      <w:r>
        <w:rPr>
          <w:bCs/>
          <w:b/>
        </w:rPr>
        <w:t xml:space="preserve">Experimental Group (n=30):</w:t>
      </w:r>
      <w:r>
        <w:t xml:space="preserve"> </w:t>
      </w:r>
      <w:r>
        <w:t xml:space="preserve">Will implement the "Riyadh-First" protocol, which includes training on local etiquette, use of Arabic/English bilingual decks, and a focus on long-term relationship building before closing.</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sales methodology employed (Standard Global vs. Riyadh-First Protocol).</w:t>
            </w:r>
          </w:p>
        </w:tc>
      </w:tr>
      <w:tr>
        <w:tc>
          <w:tcPr/>
          <w:p>
            <w:pPr>
              <w:pStyle w:val="Compact"/>
              <w:jc w:val="left"/>
            </w:pPr>
            <w:r>
              <w:rPr>
                <w:bCs/>
                <w:b/>
              </w:rPr>
              <w:t xml:space="preserve">Dependent Variables</w:t>
            </w:r>
          </w:p>
        </w:tc>
        <w:tc>
          <w:tcPr/>
          <w:p>
            <w:pPr>
              <w:pStyle w:val="Compact"/>
              <w:jc w:val="left"/>
            </w:pPr>
            <w:r>
              <w:t xml:space="preserve">Conversion rate, average deal size, sales cycle length, and Net Promoter Score (NPS) from clients.</w:t>
            </w:r>
          </w:p>
        </w:tc>
      </w:tr>
      <w:tr>
        <w:tc>
          <w:tcPr/>
          <w:p>
            <w:pPr>
              <w:pStyle w:val="Compact"/>
              <w:jc w:val="left"/>
            </w:pPr>
            <w:r>
              <w:rPr>
                <w:bCs/>
                <w:b/>
              </w:rPr>
              <w:t xml:space="preserve">Control Variables</w:t>
            </w:r>
          </w:p>
        </w:tc>
        <w:tc>
          <w:tcPr/>
          <w:p>
            <w:pPr>
              <w:pStyle w:val="Compact"/>
              <w:jc w:val="left"/>
            </w:pPr>
            <w:r>
              <w:t xml:space="preserve">Product offering, pricing structure, target industry sectors, and individual Sales Executive experience level (minimum 3 years).</w:t>
            </w:r>
          </w:p>
        </w:tc>
      </w:tr>
    </w:tbl>
    <w:bookmarkEnd w:id="25"/>
    <w:bookmarkEnd w:id="26"/>
    <w:bookmarkStart w:id="30" w:name="procedure"/>
    <w:p>
      <w:pPr>
        <w:pStyle w:val="Heading2"/>
      </w:pPr>
      <w:r>
        <w:t xml:space="preserve">5. Procedure</w:t>
      </w:r>
    </w:p>
    <w:bookmarkStart w:id="27" w:name="training-phase-week-1"/>
    <w:p>
      <w:pPr>
        <w:pStyle w:val="Heading3"/>
      </w:pPr>
      <w:r>
        <w:t xml:space="preserve">5.1. Training Phase (Week 1)</w:t>
      </w:r>
    </w:p>
    <w:p>
      <w:pPr>
        <w:pStyle w:val="FirstParagraph"/>
      </w:pPr>
      <w:r>
        <w:t xml:space="preserve">The Experimental Group will undergo intensive training focused on the business culture of Saudi Arabia Riyadh. Key topics include:</w:t>
      </w:r>
    </w:p>
    <w:p>
      <w:pPr>
        <w:numPr>
          <w:ilvl w:val="0"/>
          <w:numId w:val="1003"/>
        </w:numPr>
        <w:pStyle w:val="Compact"/>
      </w:pPr>
      <w:r>
        <w:rPr>
          <w:bCs/>
          <w:b/>
        </w:rPr>
        <w:t xml:space="preserve">Wasta and Relationships:</w:t>
      </w:r>
      <w:r>
        <w:t xml:space="preserve"> </w:t>
      </w:r>
      <w:r>
        <w:t xml:space="preserve">Understanding the importance of personal connections and trust in Saudi business culture.</w:t>
      </w:r>
    </w:p>
    <w:p>
      <w:pPr>
        <w:numPr>
          <w:ilvl w:val="0"/>
          <w:numId w:val="1003"/>
        </w:numPr>
        <w:pStyle w:val="Compact"/>
      </w:pPr>
      <w:r>
        <w:rPr>
          <w:bCs/>
          <w:b/>
        </w:rPr>
        <w:t xml:space="preserve">Communication Nuances:</w:t>
      </w:r>
      <w:r>
        <w:t xml:space="preserve"> </w:t>
      </w:r>
      <w:r>
        <w:t xml:space="preserve">Learning indirect communication styles and the significance of face-to-face meetings over cold calls.</w:t>
      </w:r>
    </w:p>
    <w:p>
      <w:pPr>
        <w:numPr>
          <w:ilvl w:val="0"/>
          <w:numId w:val="1003"/>
        </w:numPr>
        <w:pStyle w:val="Compact"/>
      </w:pPr>
      <w:r>
        <w:rPr>
          <w:bCs/>
          <w:b/>
        </w:rPr>
        <w:t xml:space="preserve">Religious and Cultural Sensitivity:</w:t>
      </w:r>
      <w:r>
        <w:t xml:space="preserve"> </w:t>
      </w:r>
      <w:r>
        <w:t xml:space="preserve">Adhering to prayer times, Ramadan considerations (if applicable), and gender interaction norms in professional settings.</w:t>
      </w:r>
    </w:p>
    <w:p>
      <w:pPr>
        <w:numPr>
          <w:ilvl w:val="0"/>
          <w:numId w:val="1003"/>
        </w:numPr>
        <w:pStyle w:val="Compact"/>
      </w:pPr>
      <w:r>
        <w:rPr>
          <w:bCs/>
          <w:b/>
        </w:rPr>
        <w:t xml:space="preserve">Vision 2030 Alignment:</w:t>
      </w:r>
      <w:r>
        <w:t xml:space="preserve"> </w:t>
      </w:r>
      <w:r>
        <w:t xml:space="preserve">Framing sales pitches to highlight how the product/service supports national goals like digital transformation and economic diversification.</w:t>
      </w:r>
    </w:p>
    <w:bookmarkEnd w:id="27"/>
    <w:bookmarkStart w:id="28" w:name="execution-phase-weeks-2-11"/>
    <w:p>
      <w:pPr>
        <w:pStyle w:val="Heading3"/>
      </w:pPr>
      <w:r>
        <w:t xml:space="preserve">5.2. Execution Phase (Weeks 2-11)</w:t>
      </w:r>
    </w:p>
    <w:p>
      <w:pPr>
        <w:pStyle w:val="FirstParagraph"/>
      </w:pPr>
      <w:r>
        <w:t xml:space="preserve">During this phase, Sales Executives will engage with their assigned leads. The Experimental Group will be required to:</w:t>
      </w:r>
    </w:p>
    <w:p>
      <w:pPr>
        <w:numPr>
          <w:ilvl w:val="0"/>
          <w:numId w:val="1004"/>
        </w:numPr>
        <w:pStyle w:val="Compact"/>
      </w:pPr>
      <w:r>
        <w:t xml:space="preserve">Schedule initial meetings in person or via video conference, avoiding text-only outreach.</w:t>
      </w:r>
    </w:p>
    <w:p>
      <w:pPr>
        <w:numPr>
          <w:ilvl w:val="0"/>
          <w:numId w:val="1004"/>
        </w:numPr>
        <w:pStyle w:val="Compact"/>
      </w:pPr>
      <w:r>
        <w:t xml:space="preserve">Use bilingual presentation materials that respect the Arabic language.</w:t>
      </w:r>
    </w:p>
    <w:p>
      <w:pPr>
        <w:numPr>
          <w:ilvl w:val="0"/>
          <w:numId w:val="1004"/>
        </w:numPr>
        <w:pStyle w:val="Compact"/>
      </w:pPr>
      <w:r>
        <w:t xml:space="preserve">Allocate additional time for small talk and relationship building at the start of meetings.</w:t>
      </w:r>
    </w:p>
    <w:p>
      <w:pPr>
        <w:numPr>
          <w:ilvl w:val="0"/>
          <w:numId w:val="1004"/>
        </w:numPr>
        <w:pStyle w:val="Compact"/>
      </w:pPr>
      <w:r>
        <w:t xml:space="preserve">Follow up with personalized gestures, such as handwritten notes or culturally appropriate gifts, where appropriate.</w:t>
      </w:r>
    </w:p>
    <w:p>
      <w:pPr>
        <w:pStyle w:val="FirstParagraph"/>
      </w:pPr>
      <w:r>
        <w:t xml:space="preserve">The Control Group will follow their existing CRM-driven workflows without these specific cultural adaptations.</w:t>
      </w:r>
    </w:p>
    <w:bookmarkEnd w:id="28"/>
    <w:bookmarkStart w:id="29" w:name="data-collection"/>
    <w:p>
      <w:pPr>
        <w:pStyle w:val="Heading3"/>
      </w:pPr>
      <w:r>
        <w:t xml:space="preserve">5.3. Data Collection</w:t>
      </w:r>
    </w:p>
    <w:p>
      <w:pPr>
        <w:pStyle w:val="FirstParagraph"/>
      </w:pPr>
      <w:r>
        <w:t xml:space="preserve">Data will be collected weekly through the company’s CRM system. Metrics will include the number of meetings held, proposals sent, deals closed, and feedback from clients. Additionally, bi-weekly surveys will be administered to Sales Executives to gauge their confidence and perceived effectiveness of the strategies.</w:t>
      </w:r>
    </w:p>
    <w:bookmarkEnd w:id="29"/>
    <w:bookmarkEnd w:id="30"/>
    <w:bookmarkStart w:id="31" w:name="ethical-considerations"/>
    <w:p>
      <w:pPr>
        <w:pStyle w:val="Heading2"/>
      </w:pPr>
      <w:r>
        <w:t xml:space="preserve">6. Ethical Considerations</w:t>
      </w:r>
    </w:p>
    <w:p>
      <w:pPr>
        <w:pStyle w:val="FirstParagraph"/>
      </w:pPr>
      <w:r>
        <w:t xml:space="preserve">All participants will provide informed consent. The experiment will comply with Saudi Arabian labor laws and data privacy regulations. No client will be subjected to deceptive practices; the variations in approach are purely methodological. Confidentiality of all business data and personal information will be strictly maintained.</w:t>
      </w:r>
    </w:p>
    <w:bookmarkEnd w:id="31"/>
    <w:bookmarkStart w:id="32" w:name="risk-management"/>
    <w:p>
      <w:pPr>
        <w:pStyle w:val="Heading2"/>
      </w:pPr>
      <w:r>
        <w:t xml:space="preserve">7. Risk Management</w:t>
      </w:r>
    </w:p>
    <w:p>
      <w:pPr>
        <w:pStyle w:val="FirstParagraph"/>
      </w:pPr>
      <w:r>
        <w:t xml:space="preserve">Potential risks include resistance from Sales Executives accustomed to traditional methods or client confusion due to inconsistent messaging. To mitigate this, clear guidelines will be provided, and a support team will be available to assist the Experimental Group. If any negative feedback is received from clients, the protocol will be adjusted immediately to ensure brand integrity.</w:t>
      </w:r>
    </w:p>
    <w:bookmarkEnd w:id="32"/>
    <w:bookmarkStart w:id="33" w:name="analysis-and-reporting"/>
    <w:p>
      <w:pPr>
        <w:pStyle w:val="Heading2"/>
      </w:pPr>
      <w:r>
        <w:t xml:space="preserve">8. Analysis and Reporting</w:t>
      </w:r>
    </w:p>
    <w:p>
      <w:pPr>
        <w:pStyle w:val="FirstParagraph"/>
      </w:pPr>
      <w:r>
        <w:t xml:space="preserve">At the conclusion of the 12-week period, data will be analyzed using statistical methods to compare the performance of the two groups. Key performance indicators (KPIs) will be benchmarked against historical data from Riyadh operations. A final report will be generated, detailing the efficacy of the Riyadh-First protocol and providing recommendations for scaling the approach across other regions in Saudi Arabia.</w:t>
      </w:r>
    </w:p>
    <w:bookmarkEnd w:id="33"/>
    <w:bookmarkStart w:id="34" w:name="conclusion"/>
    <w:p>
      <w:pPr>
        <w:pStyle w:val="Heading2"/>
      </w:pPr>
      <w:r>
        <w:t xml:space="preserve">9. Conclusion</w:t>
      </w:r>
    </w:p>
    <w:p>
      <w:pPr>
        <w:pStyle w:val="FirstParagraph"/>
      </w:pPr>
      <w:r>
        <w:t xml:space="preserve">This Experiment Protocol is designed to provide actionable insights into optimizing Sales Executive performance in one of the world’s most rapidly evolving markets. By respecting and integrating the cultural fabric of Saudi Arabia Riyadh into sales strategies, organizations can build stronger client relationships and drive sustainable growth. The findings from this study will be instrumental in shaping future sales training and operational policies for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Riyadh</dc:title>
  <dc:creator/>
  <dc:language>en</dc:language>
  <cp:keywords/>
  <dcterms:created xsi:type="dcterms:W3CDTF">2026-10-10T02:45:53Z</dcterms:created>
  <dcterms:modified xsi:type="dcterms:W3CDTF">2026-10-10T02:45:53Z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