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Senegal</w:t>
      </w:r>
      <w:r>
        <w:t xml:space="preserve"> </w:t>
      </w:r>
      <w:r>
        <w:t xml:space="preserve">Dakar</w:t>
      </w:r>
    </w:p>
    <w:bookmarkStart w:id="20" w:name="X5e8cf04049d7b0df4cea5ac7b1b6996bd755d55"/>
    <w:p>
      <w:pPr>
        <w:pStyle w:val="Heading1"/>
      </w:pPr>
      <w:r>
        <w:t xml:space="preserve">Experiment Protocol: Optimizing Sales Executive Engagement Strategies in Senegal Dakar</w:t>
      </w:r>
    </w:p>
    <w:p>
      <w:pPr>
        <w:pStyle w:val="FirstParagraph"/>
      </w:pPr>
      <w:r>
        <w:rPr>
          <w:bCs/>
          <w:b/>
        </w:rPr>
        <w:t xml:space="preserve">Document ID:</w:t>
      </w:r>
      <w:r>
        <w:t xml:space="preserve"> </w:t>
      </w:r>
      <w:r>
        <w:t xml:space="preserve">EXP-SD-2023-001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Dakar, Senegal</w:t>
      </w:r>
    </w:p>
    <w:p>
      <w:pPr>
        <w:pStyle w:val="BodyText"/>
      </w:pPr>
      <w:r>
        <w:rPr>
          <w:bCs/>
          <w:b/>
        </w:rPr>
        <w:t xml:space="preserve">Subject:</w:t>
      </w:r>
      <w:r>
        <w:t xml:space="preserve"> </w:t>
      </w:r>
      <w:r>
        <w:t xml:space="preserve">Comparative Analysis of Digital vs. Traditional Outreach by Sales Executives</w:t>
      </w:r>
    </w:p>
    <w:bookmarkEnd w:id="20"/>
    <w:bookmarkStart w:id="21" w:name="introduction-and-background"/>
    <w:p>
      <w:pPr>
        <w:pStyle w:val="Heading2"/>
      </w:pPr>
      <w:r>
        <w:t xml:space="preserve">1. Introduction and Background</w:t>
      </w:r>
    </w:p>
    <w:p>
      <w:pPr>
        <w:pStyle w:val="FirstParagraph"/>
      </w:pPr>
      <w:r>
        <w:t xml:space="preserve">The commercial landscape in</w:t>
      </w:r>
      <w:r>
        <w:t xml:space="preserve"> </w:t>
      </w:r>
      <w:r>
        <w:rPr>
          <w:bCs/>
          <w:b/>
        </w:rPr>
        <w:t xml:space="preserve">Senegal Dakar</w:t>
      </w:r>
      <w:r>
        <w:t xml:space="preserve"> </w:t>
      </w:r>
      <w:r>
        <w:t xml:space="preserve">is characterized by a unique blend of traditional relationship-based commerce and rapidly accelerating digital adoption. As the economic hub of the nation, Dakar presents a complex environment for</w:t>
      </w:r>
      <w:r>
        <w:t xml:space="preserve"> </w:t>
      </w:r>
      <w:r>
        <w:rPr>
          <w:bCs/>
          <w:b/>
        </w:rPr>
        <w:t xml:space="preserve">Sales Executive</w:t>
      </w:r>
      <w:r>
        <w:t xml:space="preserve"> </w:t>
      </w:r>
      <w:r>
        <w:t xml:space="preserve">professionals. While mobile penetration is high, particularly through mobile money platforms like Orange Money and Wave, face-to-face interaction remains a cornerstone of trust in B2B and high-value B2C transactions.</w:t>
      </w:r>
    </w:p>
    <w:p>
      <w:pPr>
        <w:pStyle w:val="BodyText"/>
      </w:pPr>
      <w:r>
        <w:t xml:space="preserve">This</w:t>
      </w:r>
      <w:r>
        <w:t xml:space="preserve"> </w:t>
      </w:r>
      <w:r>
        <w:rPr>
          <w:bCs/>
          <w:b/>
        </w:rPr>
        <w:t xml:space="preserve">Experiment Protocol</w:t>
      </w:r>
      <w:r>
        <w:t xml:space="preserve"> </w:t>
      </w:r>
      <w:r>
        <w:t xml:space="preserve">is designed to evaluate the efficacy of different engagement methodologies employed by Sales Executives within the Dakar metropolitan area. The primary objective is to determine whether a hybrid approach—integrating localized digital communication with traditional in-person visits—yields higher conversion rates than either method used in isolation. Understanding these dynamics is crucial for optimizing sales operations in West Africa's most dynamic market.</w:t>
      </w:r>
    </w:p>
    <w:bookmarkEnd w:id="21"/>
    <w:bookmarkStart w:id="22"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measure the conversion rate of Sales Executives using a purely digital outreach strategy (WhatsApp Business, Email, LinkedIn) in Dakar.</w:t>
      </w:r>
    </w:p>
    <w:p>
      <w:pPr>
        <w:numPr>
          <w:ilvl w:val="0"/>
          <w:numId w:val="1001"/>
        </w:numPr>
        <w:pStyle w:val="Compact"/>
      </w:pPr>
      <w:r>
        <w:t xml:space="preserve">To measure the conversion rate of Sales Executives using a traditional strategy (Cold calling, physical visits to Plateau and Almadies business districts).</w:t>
      </w:r>
    </w:p>
    <w:p>
      <w:pPr>
        <w:numPr>
          <w:ilvl w:val="0"/>
          <w:numId w:val="1001"/>
        </w:numPr>
        <w:pStyle w:val="Compact"/>
      </w:pPr>
      <w:r>
        <w:t xml:space="preserve">To assess the impact of cultural nuances, such as language preference (French vs. Wolof) and timing, on sales outcomes.</w:t>
      </w:r>
    </w:p>
    <w:p>
      <w:pPr>
        <w:numPr>
          <w:ilvl w:val="0"/>
          <w:numId w:val="1001"/>
        </w:numPr>
        <w:pStyle w:val="Compact"/>
      </w:pPr>
      <w:r>
        <w:t xml:space="preserve">To identify the most cost-effective customer acquisition channel for the Senegalese market.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We will recruit a cohort of 30 experienced Sales Executives currently operating in Dakar. These participants will be randomly assigned to three distinct groups, each representing a different sales strategy. The experiment will run for a period of 12 weeks to account for seasonal variations in the local market.</w:t>
      </w:r>
    </w:p>
    <w:bookmarkEnd w:id="23"/>
    <w:bookmarkStart w:id="24" w:name="participant-selection"/>
    <w:p>
      <w:pPr>
        <w:pStyle w:val="Heading3"/>
      </w:pPr>
      <w:r>
        <w:t xml:space="preserve">3.2 Participant Selection</w:t>
      </w:r>
    </w:p>
    <w:p>
      <w:pPr>
        <w:pStyle w:val="FirstParagraph"/>
      </w:pPr>
      <w:r>
        <w:t xml:space="preserve">Eligible Sales Executives must have at least two years of experience selling within Senegal. They must be fluent in French and possess a working knowledge of Wolof. Participants will be drawn from various sectors including telecommunications, fintech, and consumer goods to ensure data robustness.</w:t>
      </w:r>
    </w:p>
    <w:bookmarkEnd w:id="24"/>
    <w:bookmarkStart w:id="25" w:name="experimental-groups"/>
    <w:p>
      <w:pPr>
        <w:pStyle w:val="Heading3"/>
      </w:pPr>
      <w:r>
        <w:t xml:space="preserve">3.3 Experimental Groups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Strategy Description</w:t>
            </w:r>
          </w:p>
        </w:tc>
        <w:tc>
          <w:tcPr/>
          <w:p>
            <w:pPr>
              <w:pStyle w:val="Compact"/>
              <w:jc w:val="left"/>
            </w:pPr>
            <w:r>
              <w:t xml:space="preserve">Key Tools</w:t>
            </w:r>
          </w:p>
        </w:tc>
      </w:tr>
      <w:tr>
        <w:tc>
          <w:tcPr/>
          <w:p>
            <w:pPr>
              <w:pStyle w:val="Compact"/>
              <w:jc w:val="left"/>
            </w:pPr>
            <w:r>
              <w:rPr>
                <w:bCs/>
                <w:b/>
              </w:rPr>
              <w:t xml:space="preserve">Group A: Digital-First</w:t>
            </w:r>
          </w:p>
        </w:tc>
        <w:tc>
          <w:tcPr/>
          <w:p>
            <w:pPr>
              <w:pStyle w:val="Compact"/>
              <w:jc w:val="left"/>
            </w:pPr>
            <w:r>
              <w:t xml:space="preserve">Outreach initiated exclusively via digital channels. Follow-ups are conducted via video call or instant messaging.</w:t>
            </w:r>
          </w:p>
        </w:tc>
        <w:tc>
          <w:tcPr/>
          <w:p>
            <w:pPr>
              <w:pStyle w:val="Compact"/>
              <w:jc w:val="left"/>
            </w:pPr>
            <w:r>
              <w:t xml:space="preserve">WhatsApp Business, Email, LinkedIn, CRM Mobile App.</w:t>
            </w:r>
          </w:p>
        </w:tc>
      </w:tr>
      <w:tr>
        <w:tc>
          <w:tcPr/>
          <w:p>
            <w:pPr>
              <w:pStyle w:val="Compact"/>
              <w:jc w:val="left"/>
            </w:pPr>
            <w:r>
              <w:rPr>
                <w:bCs/>
                <w:b/>
              </w:rPr>
              <w:t xml:space="preserve">Group B: Traditional-First</w:t>
            </w:r>
          </w:p>
        </w:tc>
        <w:tc>
          <w:tcPr/>
          <w:p>
            <w:pPr>
              <w:pStyle w:val="Compact"/>
              <w:jc w:val="left"/>
            </w:pPr>
            <w:r>
              <w:t xml:space="preserve">Outreach initiated via phone calls followed by mandatory physical visits to client offices or homes.</w:t>
            </w:r>
          </w:p>
        </w:tc>
        <w:tc>
          <w:tcPr/>
          <w:p>
            <w:pPr>
              <w:pStyle w:val="Compact"/>
              <w:jc w:val="left"/>
            </w:pPr>
            <w:r>
              <w:t xml:space="preserve">Landline/Mobile, Physical Brochures, Business Cards.</w:t>
            </w:r>
          </w:p>
        </w:tc>
      </w:tr>
      <w:tr>
        <w:tc>
          <w:tcPr/>
          <w:p>
            <w:pPr>
              <w:pStyle w:val="Compact"/>
              <w:jc w:val="left"/>
            </w:pPr>
            <w:r>
              <w:rPr>
                <w:bCs/>
                <w:b/>
              </w:rPr>
              <w:t xml:space="preserve">Group C: Hybrid Model</w:t>
            </w:r>
          </w:p>
        </w:tc>
        <w:tc>
          <w:tcPr/>
          <w:p>
            <w:pPr>
              <w:pStyle w:val="Compact"/>
              <w:jc w:val="left"/>
            </w:pPr>
            <w:r>
              <w:t xml:space="preserve">Digital pre-qualification followed by scheduled in-person meetings. Heavy emphasis on relationship building.</w:t>
            </w:r>
          </w:p>
        </w:tc>
        <w:tc>
          <w:tcPr/>
          <w:p>
            <w:pPr>
              <w:pStyle w:val="Compact"/>
              <w:jc w:val="left"/>
            </w:pPr>
            <w:r>
              <w:t xml:space="preserve">Integrated CRM, WhatsApp, In-person visits.</w:t>
            </w:r>
          </w:p>
        </w:tc>
      </w:tr>
    </w:tbl>
    <w:bookmarkEnd w:id="25"/>
    <w:bookmarkEnd w:id="26"/>
    <w:bookmarkStart w:id="27" w:name="data-collection-and-metrics"/>
    <w:p>
      <w:pPr>
        <w:pStyle w:val="Heading2"/>
      </w:pPr>
      <w:r>
        <w:t xml:space="preserve">4. Data Collection and Metrics</w:t>
      </w:r>
    </w:p>
    <w:p>
      <w:pPr>
        <w:pStyle w:val="FirstParagraph"/>
      </w:pPr>
      <w:r>
        <w:t xml:space="preserve">To ensure the validity of this</w:t>
      </w:r>
      <w:r>
        <w:t xml:space="preserve"> </w:t>
      </w:r>
      <w:r>
        <w:rPr>
          <w:bCs/>
          <w:b/>
        </w:rPr>
        <w:t xml:space="preserve">Experiment Protocol</w:t>
      </w:r>
      <w:r>
        <w:t xml:space="preserve">, data will be collected daily through a centralized CRM system. The following Key Performance Indicators (KPIs) will be tracked for each Sales Executive:</w:t>
      </w:r>
    </w:p>
    <w:p>
      <w:pPr>
        <w:numPr>
          <w:ilvl w:val="0"/>
          <w:numId w:val="1002"/>
        </w:numPr>
        <w:pStyle w:val="Compact"/>
      </w:pPr>
      <w:r>
        <w:rPr>
          <w:bCs/>
          <w:b/>
        </w:rPr>
        <w:t xml:space="preserve">Lead Response Time:</w:t>
      </w:r>
      <w:r>
        <w:t xml:space="preserve"> </w:t>
      </w:r>
      <w:r>
        <w:t xml:space="preserve">Average time taken to respond to a prospect in Dakar.</w:t>
      </w:r>
    </w:p>
    <w:p>
      <w:pPr>
        <w:numPr>
          <w:ilvl w:val="0"/>
          <w:numId w:val="1002"/>
        </w:numPr>
        <w:pStyle w:val="Compact"/>
      </w:pPr>
      <w:r>
        <w:rPr>
          <w:bCs/>
          <w:b/>
        </w:rPr>
        <w:t xml:space="preserve">Meeting Conversion Rate:</w:t>
      </w:r>
      <w:r>
        <w:t xml:space="preserve"> </w:t>
      </w:r>
      <w:r>
        <w:t xml:space="preserve">Percentage of initial contacts that result in a qualified meeting.</w:t>
      </w:r>
    </w:p>
    <w:p>
      <w:pPr>
        <w:numPr>
          <w:ilvl w:val="0"/>
          <w:numId w:val="1002"/>
        </w:numPr>
        <w:pStyle w:val="Compact"/>
      </w:pPr>
      <w:r>
        <w:rPr>
          <w:bCs/>
          <w:b/>
        </w:rPr>
        <w:t xml:space="preserve">Closing Rate:</w:t>
      </w:r>
      <w:r>
        <w:t xml:space="preserve"> </w:t>
      </w:r>
      <w:r>
        <w:t xml:space="preserve">Percentage of qualified meetings that result in a signed contract.</w:t>
      </w:r>
    </w:p>
    <w:p>
      <w:pPr>
        <w:numPr>
          <w:ilvl w:val="0"/>
          <w:numId w:val="1002"/>
        </w:numPr>
        <w:pStyle w:val="Compact"/>
      </w:pPr>
      <w:r>
        <w:rPr>
          <w:bCs/>
          <w:b/>
        </w:rPr>
        <w:t xml:space="preserve">Customer Acquisition Cost (CAC):</w:t>
      </w:r>
      <w:r>
        <w:t xml:space="preserve"> </w:t>
      </w:r>
      <w:r>
        <w:t xml:space="preserve">Total cost of outreach divided by the number of new customers.</w:t>
      </w:r>
    </w:p>
    <w:p>
      <w:pPr>
        <w:numPr>
          <w:ilvl w:val="0"/>
          <w:numId w:val="1002"/>
        </w:numPr>
        <w:pStyle w:val="Compact"/>
      </w:pPr>
      <w:r>
        <w:rPr>
          <w:bCs/>
          <w:b/>
        </w:rPr>
        <w:t xml:space="preserve">Client Satisfaction Score:</w:t>
      </w:r>
      <w:r>
        <w:t xml:space="preserve"> </w:t>
      </w:r>
      <w:r>
        <w:t xml:space="preserve">Post-interaction survey results focusing on trust and professionalism.</w:t>
      </w:r>
    </w:p>
    <w:bookmarkEnd w:id="27"/>
    <w:bookmarkStart w:id="28" w:name="ethical-considerations-and-compliance"/>
    <w:p>
      <w:pPr>
        <w:pStyle w:val="Heading2"/>
      </w:pPr>
      <w:r>
        <w:t xml:space="preserve">5. Ethical Considerations and Compliance</w:t>
      </w:r>
    </w:p>
    <w:p>
      <w:pPr>
        <w:pStyle w:val="FirstParagraph"/>
      </w:pPr>
      <w:r>
        <w:t xml:space="preserve">This experiment adheres strictly to the data protection laws of Senegal, specifically the Law No. 2008-12 on the Protection of Individuals with Regard to the Processing of Personal Data. All customer data collected by the Sales Executives will be anonymized for analysis. Participants will provide informed consent, and they will be briefed on the importance of maintaining professional integrity and respecting local cultural norms throughout the experiment.</w:t>
      </w:r>
    </w:p>
    <w:bookmarkEnd w:id="28"/>
    <w:bookmarkStart w:id="29" w:name="risk-management"/>
    <w:p>
      <w:pPr>
        <w:pStyle w:val="Heading2"/>
      </w:pPr>
      <w:r>
        <w:t xml:space="preserve">6. Risk Management</w:t>
      </w:r>
    </w:p>
    <w:p>
      <w:pPr>
        <w:pStyle w:val="FirstParagraph"/>
      </w:pPr>
      <w:r>
        <w:t xml:space="preserve">Potential risks include network instability in certain areas of Dakar, which could affect Group A's performance. To mitigate this, offline capabilities will be provided for CRM data entry. Additionally, there is a risk of "contamination" where Sales Executives from different groups share strategies. To prevent this, groups will be geographically segmented within Dakar (e.g., Group A in Parcelles Assainies, Group B in Plateau, Group C in Almadies) to minimize cross-group interaction.</w:t>
      </w:r>
    </w:p>
    <w:bookmarkEnd w:id="29"/>
    <w:bookmarkStart w:id="30" w:name="timeline"/>
    <w:p>
      <w:pPr>
        <w:pStyle w:val="Heading2"/>
      </w:pPr>
      <w:r>
        <w:t xml:space="preserve">7. Timeline</w:t>
      </w:r>
    </w:p>
    <w:p>
      <w:pPr>
        <w:numPr>
          <w:ilvl w:val="0"/>
          <w:numId w:val="1003"/>
        </w:numPr>
        <w:pStyle w:val="Compact"/>
      </w:pPr>
      <w:r>
        <w:rPr>
          <w:bCs/>
          <w:b/>
        </w:rPr>
        <w:t xml:space="preserve">Weeks 1-2:</w:t>
      </w:r>
      <w:r>
        <w:t xml:space="preserve"> </w:t>
      </w:r>
      <w:r>
        <w:t xml:space="preserve">Recruitment of Sales Executives and training on protocols.</w:t>
      </w:r>
    </w:p>
    <w:p>
      <w:pPr>
        <w:numPr>
          <w:ilvl w:val="0"/>
          <w:numId w:val="1003"/>
        </w:numPr>
        <w:pStyle w:val="Compact"/>
      </w:pPr>
      <w:r>
        <w:rPr>
          <w:bCs/>
          <w:b/>
        </w:rPr>
        <w:t xml:space="preserve">Weeks 3-14:</w:t>
      </w:r>
      <w:r>
        <w:t xml:space="preserve"> </w:t>
      </w:r>
      <w:r>
        <w:t xml:space="preserve">Active execution of the experiment.</w:t>
      </w:r>
    </w:p>
    <w:p>
      <w:pPr>
        <w:numPr>
          <w:ilvl w:val="0"/>
          <w:numId w:val="1003"/>
        </w:numPr>
        <w:pStyle w:val="Compact"/>
      </w:pPr>
      <w:r>
        <w:rPr>
          <w:bCs/>
          <w:b/>
        </w:rPr>
        <w:t xml:space="preserve">Weeks 15-16:</w:t>
      </w:r>
      <w:r>
        <w:t xml:space="preserve"> </w:t>
      </w:r>
      <w:r>
        <w:t xml:space="preserve">Data consolidation and statistical analysis.</w:t>
      </w:r>
    </w:p>
    <w:p>
      <w:pPr>
        <w:numPr>
          <w:ilvl w:val="0"/>
          <w:numId w:val="1003"/>
        </w:numPr>
        <w:pStyle w:val="Compact"/>
      </w:pPr>
      <w:r>
        <w:rPr>
          <w:bCs/>
          <w:b/>
        </w:rPr>
        <w:t xml:space="preserve">Week 17:</w:t>
      </w:r>
      <w:r>
        <w:t xml:space="preserve"> </w:t>
      </w:r>
      <w:r>
        <w:t xml:space="preserve">Presentation of findings and recommendations.</w:t>
      </w:r>
    </w:p>
    <w:bookmarkEnd w:id="30"/>
    <w:bookmarkStart w:id="31"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aims to provide actionable insights into the evolving role of the</w:t>
      </w:r>
      <w:r>
        <w:t xml:space="preserve"> </w:t>
      </w:r>
      <w:r>
        <w:rPr>
          <w:bCs/>
          <w:b/>
        </w:rPr>
        <w:t xml:space="preserve">Sales Executive</w:t>
      </w:r>
      <w:r>
        <w:t xml:space="preserve"> </w:t>
      </w:r>
      <w:r>
        <w:t xml:space="preserve">in</w:t>
      </w:r>
      <w:r>
        <w:t xml:space="preserve"> </w:t>
      </w:r>
      <w:r>
        <w:rPr>
          <w:bCs/>
          <w:b/>
        </w:rPr>
        <w:t xml:space="preserve">Senegal Dakar</w:t>
      </w:r>
      <w:r>
        <w:t xml:space="preserve">. By rigorously testing different engagement models, we anticipate identifying a best-practice framework that balances technological efficiency with the cultural necessity of personal connection. The results will not only benefit the participating organization but will also contribute to the broader understanding of sales dynamics in emerging African markets.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in Senegal Dakar</dc:title>
  <dc:creator/>
  <dc:language>en</dc:language>
  <cp:keywords/>
  <dcterms:created xsi:type="dcterms:W3CDTF">2026-10-10T03:41:26Z</dcterms:created>
  <dcterms:modified xsi:type="dcterms:W3CDTF">2026-10-10T03:41:26Z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