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20" w:name="Xcffb0dd2f18abe7f8204b896b7eace62be1e542"/>
    <w:p>
      <w:pPr>
        <w:pStyle w:val="Heading1"/>
      </w:pPr>
      <w:r>
        <w:t xml:space="preserve">Experiment Protocol: Optimizing Sales Executive Engagement Strategies in Thailand Bangkok</w:t>
      </w:r>
    </w:p>
    <w:p>
      <w:pPr>
        <w:pStyle w:val="FirstParagraph"/>
      </w:pPr>
      <w:r>
        <w:rPr>
          <w:bCs/>
          <w:b/>
        </w:rPr>
        <w:t xml:space="preserve">Protocol ID:</w:t>
      </w:r>
      <w:r>
        <w:t xml:space="preserve"> </w:t>
      </w:r>
      <w:r>
        <w:t xml:space="preserve">TH-BKK-SE-2024-001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Bangkok, Thailand</w:t>
      </w:r>
    </w:p>
    <w:p>
      <w:pPr>
        <w:pStyle w:val="BodyText"/>
      </w:pPr>
      <w:r>
        <w:rPr>
          <w:bCs/>
          <w:b/>
        </w:rPr>
        <w:t xml:space="preserve">Subject:</w:t>
      </w:r>
      <w:r>
        <w:t xml:space="preserve"> </w:t>
      </w:r>
      <w:r>
        <w:t xml:space="preserve">Sales Executive Performance and Client Acquisition</w:t>
      </w:r>
    </w:p>
    <w:bookmarkEnd w:id="20"/>
    <w:bookmarkStart w:id="21" w:name="introduction-and-background"/>
    <w:p>
      <w:pPr>
        <w:pStyle w:val="Heading2"/>
      </w:pPr>
      <w:r>
        <w:t xml:space="preserve">1. Introduction and Background</w:t>
      </w:r>
    </w:p>
    <w:p>
      <w:pPr>
        <w:pStyle w:val="FirstParagraph"/>
      </w:pPr>
      <w:r>
        <w:t xml:space="preserve">The commercial landscape in Thailand Bangkok is characterized by a unique blend of rapid digital adoption and deeply rooted traditional relationship-building practices. For a Sales Executive operating in this region, success is not merely a function of product knowledge but also of cultural fluency and localized engagement tactics. This Experiment Protocol outlines a structured approach to testing and validating new sales methodologies specifically tailored for the Bangkok market.</w:t>
      </w:r>
    </w:p>
    <w:p>
      <w:pPr>
        <w:pStyle w:val="BodyText"/>
      </w:pPr>
      <w:r>
        <w:t xml:space="preserve">The primary objective is to determine which engagement strategies yield the highest conversion rates for Sales Executives targeting mid-to-large enterprises in the Bangkok metropolitan area. By isolating variables such as communication channels, meeting formats, and value proposition framing, this experiment aims to provide data-driven insights that can standardize best practices for the Sales Executive role within this specific geographic context.</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evaluate the effectiveness of digital-first outreach versus in-person relationship building for Sales Executives in Bangkok.</w:t>
      </w:r>
    </w:p>
    <w:p>
      <w:pPr>
        <w:numPr>
          <w:ilvl w:val="0"/>
          <w:numId w:val="1001"/>
        </w:numPr>
        <w:pStyle w:val="Compact"/>
      </w:pPr>
      <w:r>
        <w:t xml:space="preserve">To measure the impact of culturally adapted messaging on client response rates.</w:t>
      </w:r>
    </w:p>
    <w:p>
      <w:pPr>
        <w:numPr>
          <w:ilvl w:val="0"/>
          <w:numId w:val="1001"/>
        </w:numPr>
        <w:pStyle w:val="Compact"/>
      </w:pPr>
      <w:r>
        <w:t xml:space="preserve">To identify the optimal frequency of follow-up interactions that respects local business etiquette without causing disengagement.</w:t>
      </w:r>
    </w:p>
    <w:p>
      <w:pPr>
        <w:numPr>
          <w:ilvl w:val="0"/>
          <w:numId w:val="1001"/>
        </w:numPr>
        <w:pStyle w:val="Compact"/>
      </w:pPr>
      <w:r>
        <w:t xml:space="preserve">To quantify the revenue impact of the new Sales Executive protocols compared to the current standard operating procedures.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The target population consists of potential B2B clients located within the central business districts of Thailand Bangkok, including areas such as Silom, Sukhumvit, and Sathorn. The Sales Executives participating in this study will be divided into two distinct groups: the Control Group and the Experimental Group.</w:t>
      </w:r>
    </w:p>
    <w:bookmarkEnd w:id="23"/>
    <w:bookmarkStart w:id="24" w:name="participant-selection"/>
    <w:p>
      <w:pPr>
        <w:pStyle w:val="Heading3"/>
      </w:pPr>
      <w:r>
        <w:t xml:space="preserve">3.2 Participant Selection</w:t>
      </w:r>
    </w:p>
    <w:p>
      <w:pPr>
        <w:pStyle w:val="FirstParagraph"/>
      </w:pPr>
      <w:r>
        <w:rPr>
          <w:bCs/>
          <w:b/>
        </w:rPr>
        <w:t xml:space="preserve">Sales Executives:</w:t>
      </w:r>
      <w:r>
        <w:t xml:space="preserve"> </w:t>
      </w:r>
      <w:r>
        <w:t xml:space="preserve">A total of 20 Sales Executives with at least two years of experience in the Thai market will be selected. They will be matched based on historical performance metrics to ensure baseline parity between groups.</w:t>
      </w:r>
    </w:p>
    <w:p>
      <w:pPr>
        <w:pStyle w:val="BodyText"/>
      </w:pPr>
      <w:r>
        <w:rPr>
          <w:bCs/>
          <w:b/>
        </w:rPr>
        <w:t xml:space="preserve">Target Clients:</w:t>
      </w:r>
      <w:r>
        <w:t xml:space="preserve"> </w:t>
      </w:r>
      <w:r>
        <w:t xml:space="preserve">400 prospective clients will be identified and randomly assigned to either group. These clients will be segmented by industry (Technology, Finance, Retail) to ensure a representative sample of the Bangkok economy.</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sales engagement protocol (Traditional vs. Hybrid Digital-Cultural Approach).</w:t>
            </w:r>
          </w:p>
        </w:tc>
      </w:tr>
      <w:tr>
        <w:tc>
          <w:tcPr/>
          <w:p>
            <w:pPr>
              <w:pStyle w:val="Compact"/>
              <w:jc w:val="left"/>
            </w:pPr>
            <w:r>
              <w:rPr>
                <w:bCs/>
                <w:b/>
              </w:rPr>
              <w:t xml:space="preserve">Dependent Variables</w:t>
            </w:r>
          </w:p>
        </w:tc>
        <w:tc>
          <w:tcPr/>
          <w:p>
            <w:pPr>
              <w:pStyle w:val="Compact"/>
              <w:jc w:val="left"/>
            </w:pPr>
            <w:r>
              <w:t xml:space="preserve">Conversion rate, average deal size, sales cycle duration, and client satisfaction score.</w:t>
            </w:r>
          </w:p>
        </w:tc>
      </w:tr>
      <w:tr>
        <w:tc>
          <w:tcPr/>
          <w:p>
            <w:pPr>
              <w:pStyle w:val="Compact"/>
              <w:jc w:val="left"/>
            </w:pPr>
            <w:r>
              <w:rPr>
                <w:bCs/>
                <w:b/>
              </w:rPr>
              <w:t xml:space="preserve">Controlled Variables</w:t>
            </w:r>
          </w:p>
        </w:tc>
        <w:tc>
          <w:tcPr/>
          <w:p>
            <w:pPr>
              <w:pStyle w:val="Compact"/>
              <w:jc w:val="left"/>
            </w:pPr>
            <w:r>
              <w:t xml:space="preserve">Product offering, pricing structure, Sales Executive experience level, and geographic focus (Bangkok only).</w:t>
            </w:r>
          </w:p>
        </w:tc>
      </w:tr>
    </w:tbl>
    <w:bookmarkEnd w:id="25"/>
    <w:bookmarkEnd w:id="26"/>
    <w:bookmarkStart w:id="29" w:name="experimental-procedures"/>
    <w:p>
      <w:pPr>
        <w:pStyle w:val="Heading2"/>
      </w:pPr>
      <w:r>
        <w:t xml:space="preserve">4. Experimental Procedures</w:t>
      </w:r>
    </w:p>
    <w:bookmarkStart w:id="27" w:name="control-group-protocol"/>
    <w:p>
      <w:pPr>
        <w:pStyle w:val="Heading3"/>
      </w:pPr>
      <w:r>
        <w:t xml:space="preserve">4.1 Control Group Protocol</w:t>
      </w:r>
    </w:p>
    <w:p>
      <w:pPr>
        <w:pStyle w:val="FirstParagraph"/>
      </w:pPr>
      <w:r>
        <w:t xml:space="preserve">Sales Executives in the Control Group will adhere to the existing standard operating procedures. This typically involves cold calling, generic email blasts, and standard follow-up sequences that are not specifically localized for the nuances of Thailand Bangkok business culture.</w:t>
      </w:r>
    </w:p>
    <w:bookmarkEnd w:id="27"/>
    <w:bookmarkStart w:id="28" w:name="experimental-group-protocol"/>
    <w:p>
      <w:pPr>
        <w:pStyle w:val="Heading3"/>
      </w:pPr>
      <w:r>
        <w:t xml:space="preserve">4.2 Experimental Group Protocol</w:t>
      </w:r>
    </w:p>
    <w:p>
      <w:pPr>
        <w:pStyle w:val="FirstParagraph"/>
      </w:pPr>
      <w:r>
        <w:t xml:space="preserve">Sales Executives in the Experimental Group will implement a new, localized strategy designed for the Bangkok market. Key components include:</w:t>
      </w:r>
    </w:p>
    <w:p>
      <w:pPr>
        <w:numPr>
          <w:ilvl w:val="0"/>
          <w:numId w:val="1002"/>
        </w:numPr>
        <w:pStyle w:val="Compact"/>
      </w:pPr>
      <w:r>
        <w:rPr>
          <w:bCs/>
          <w:b/>
        </w:rPr>
        <w:t xml:space="preserve">Line Messaging Integration:</w:t>
      </w:r>
      <w:r>
        <w:t xml:space="preserve"> </w:t>
      </w:r>
      <w:r>
        <w:t xml:space="preserve">Utilizing LINE, the dominant messaging platform in Thailand, for initial outreach and relationship nurturing, rather than relying solely on email.</w:t>
      </w:r>
    </w:p>
    <w:p>
      <w:pPr>
        <w:numPr>
          <w:ilvl w:val="0"/>
          <w:numId w:val="1002"/>
        </w:numPr>
        <w:pStyle w:val="Compact"/>
      </w:pPr>
      <w:r>
        <w:rPr>
          <w:bCs/>
          <w:b/>
        </w:rPr>
        <w:t xml:space="preserve">Cultural Framing:</w:t>
      </w:r>
      <w:r>
        <w:t xml:space="preserve"> </w:t>
      </w:r>
      <w:r>
        <w:t xml:space="preserve">Incorporating concepts of "Kreng Jai" (consideration for others) and face-saving in negotiation tactics to build trust more effectively.</w:t>
      </w:r>
    </w:p>
    <w:p>
      <w:pPr>
        <w:numPr>
          <w:ilvl w:val="0"/>
          <w:numId w:val="1002"/>
        </w:numPr>
        <w:pStyle w:val="Compact"/>
      </w:pPr>
      <w:r>
        <w:rPr>
          <w:bCs/>
          <w:b/>
        </w:rPr>
        <w:t xml:space="preserve">Hybrid Meetings:</w:t>
      </w:r>
      <w:r>
        <w:t xml:space="preserve"> </w:t>
      </w:r>
      <w:r>
        <w:t xml:space="preserve">Offering flexible meeting options that respect the busy schedules of Bangkok executives, including quick coffee meetings in central hubs or virtual demos.</w:t>
      </w:r>
    </w:p>
    <w:p>
      <w:pPr>
        <w:numPr>
          <w:ilvl w:val="0"/>
          <w:numId w:val="1002"/>
        </w:numPr>
        <w:pStyle w:val="Compact"/>
      </w:pPr>
      <w:r>
        <w:rPr>
          <w:bCs/>
          <w:b/>
        </w:rPr>
        <w:t xml:space="preserve">Localized Content:</w:t>
      </w:r>
      <w:r>
        <w:t xml:space="preserve"> </w:t>
      </w:r>
      <w:r>
        <w:t xml:space="preserve">Providing sales collateral that references local case studies and success stories within Thailand Bangkok.</w:t>
      </w:r>
    </w:p>
    <w:bookmarkEnd w:id="28"/>
    <w:bookmarkEnd w:id="29"/>
    <w:bookmarkStart w:id="30" w:name="data-collection-and-analysis"/>
    <w:p>
      <w:pPr>
        <w:pStyle w:val="Heading2"/>
      </w:pPr>
      <w:r>
        <w:t xml:space="preserve">5. Data Collection and Analysis</w:t>
      </w:r>
    </w:p>
    <w:p>
      <w:pPr>
        <w:pStyle w:val="FirstParagraph"/>
      </w:pPr>
      <w:r>
        <w:t xml:space="preserve">Data will be collected over a period of 12 weeks. Key performance indicators (KPIs) will be tracked using the company's CRM system. The analysis will focus on comparing the mean conversion rates and sales cycle lengths between the two groups. Statistical significance will be determined using a t-test with a confidence level of 95%.</w:t>
      </w:r>
    </w:p>
    <w:p>
      <w:pPr>
        <w:pStyle w:val="BodyText"/>
      </w:pPr>
      <w:r>
        <w:t xml:space="preserve">Qualitative data will also be gathered through post-interaction surveys with clients and feedback sessions with the Sales Executives. This will help understand the "why" behind the quantitative results, particularly regarding how the localized approach resonated with clients in Thailand Bangkok.</w:t>
      </w:r>
    </w:p>
    <w:bookmarkEnd w:id="30"/>
    <w:bookmarkStart w:id="31" w:name="ethical-considerations-and-compliance"/>
    <w:p>
      <w:pPr>
        <w:pStyle w:val="Heading2"/>
      </w:pPr>
      <w:r>
        <w:t xml:space="preserve">6. Ethical Considerations and Compliance</w:t>
      </w:r>
    </w:p>
    <w:p>
      <w:pPr>
        <w:pStyle w:val="FirstParagraph"/>
      </w:pPr>
      <w:r>
        <w:t xml:space="preserve">This experiment will be conducted in full compliance with the Personal Data Protection Act (PDPA) of Thailand. All client data will be anonymized for analysis purposes. Informed consent will be obtained from all participating Sales Executives. The experiment is designed to enhance business practices without misleading clients or violating local commercial laws.</w:t>
      </w:r>
    </w:p>
    <w:bookmarkEnd w:id="31"/>
    <w:bookmarkStart w:id="32" w:name="timeline"/>
    <w:p>
      <w:pPr>
        <w:pStyle w:val="Heading2"/>
      </w:pPr>
      <w:r>
        <w:t xml:space="preserve">7. Timeline</w:t>
      </w:r>
    </w:p>
    <w:p>
      <w:pPr>
        <w:numPr>
          <w:ilvl w:val="0"/>
          <w:numId w:val="1003"/>
        </w:numPr>
        <w:pStyle w:val="Compact"/>
      </w:pPr>
      <w:r>
        <w:rPr>
          <w:bCs/>
          <w:b/>
        </w:rPr>
        <w:t xml:space="preserve">Weeks 1-2:</w:t>
      </w:r>
      <w:r>
        <w:t xml:space="preserve"> </w:t>
      </w:r>
      <w:r>
        <w:t xml:space="preserve">Recruitment of Sales Executives and client list segmentation.</w:t>
      </w:r>
    </w:p>
    <w:p>
      <w:pPr>
        <w:numPr>
          <w:ilvl w:val="0"/>
          <w:numId w:val="1003"/>
        </w:numPr>
        <w:pStyle w:val="Compact"/>
      </w:pPr>
      <w:r>
        <w:rPr>
          <w:bCs/>
          <w:b/>
        </w:rPr>
        <w:t xml:space="preserve">Week 3:</w:t>
      </w:r>
      <w:r>
        <w:t xml:space="preserve"> </w:t>
      </w:r>
      <w:r>
        <w:t xml:space="preserve">Training for the Experimental Group on the new localized protocols.</w:t>
      </w:r>
    </w:p>
    <w:p>
      <w:pPr>
        <w:numPr>
          <w:ilvl w:val="0"/>
          <w:numId w:val="1003"/>
        </w:numPr>
        <w:pStyle w:val="Compact"/>
      </w:pPr>
      <w:r>
        <w:rPr>
          <w:bCs/>
          <w:b/>
        </w:rPr>
        <w:t xml:space="preserve">Weeks 4-15:</w:t>
      </w:r>
      <w:r>
        <w:t xml:space="preserve"> </w:t>
      </w:r>
      <w:r>
        <w:t xml:space="preserve">Active execution of the experiment.</w:t>
      </w:r>
    </w:p>
    <w:p>
      <w:pPr>
        <w:numPr>
          <w:ilvl w:val="0"/>
          <w:numId w:val="1003"/>
        </w:numPr>
        <w:pStyle w:val="Compact"/>
      </w:pPr>
      <w:r>
        <w:rPr>
          <w:bCs/>
          <w:b/>
        </w:rPr>
        <w:t xml:space="preserve">Weeks 16-17:</w:t>
      </w:r>
      <w:r>
        <w:t xml:space="preserve"> </w:t>
      </w:r>
      <w:r>
        <w:t xml:space="preserve">Data cleaning and statistical analysis.</w:t>
      </w:r>
    </w:p>
    <w:p>
      <w:pPr>
        <w:numPr>
          <w:ilvl w:val="0"/>
          <w:numId w:val="1003"/>
        </w:numPr>
        <w:pStyle w:val="Compact"/>
      </w:pPr>
      <w:r>
        <w:rPr>
          <w:bCs/>
          <w:b/>
        </w:rPr>
        <w:t xml:space="preserve">Week 18:</w:t>
      </w:r>
      <w:r>
        <w:t xml:space="preserve"> </w:t>
      </w:r>
      <w:r>
        <w:t xml:space="preserve">Reporting and recommendation of new standard practices.</w:t>
      </w:r>
    </w:p>
    <w:bookmarkEnd w:id="32"/>
    <w:bookmarkStart w:id="33" w:name="conclusion"/>
    <w:p>
      <w:pPr>
        <w:pStyle w:val="Heading2"/>
      </w:pPr>
      <w:r>
        <w:t xml:space="preserve">8. Conclusion</w:t>
      </w:r>
    </w:p>
    <w:p>
      <w:pPr>
        <w:pStyle w:val="FirstParagraph"/>
      </w:pPr>
      <w:r>
        <w:t xml:space="preserve">This Experiment Protocol provides a rigorous framework for testing sales strategies tailored to the unique environment of Thailand Bangkok. By focusing on the specific needs and behaviors of the Sales Executive role in this region, the organization aims to unlock higher performance levels and build stronger, more culturally attuned client relationships. The insights gained will be critical for scaling successful practices across the broader Southeast Asian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Thailand Bangkok</dc:title>
  <dc:creator/>
  <dc:language>en</dc:language>
  <cp:keywords/>
  <dcterms:created xsi:type="dcterms:W3CDTF">2026-10-10T06:26:19Z</dcterms:created>
  <dcterms:modified xsi:type="dcterms:W3CDTF">2026-10-10T06:26:19Z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