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1a2575d87aebc2b58b04181d186e797bed1ad5d"/>
    <w:p>
      <w:pPr>
        <w:pStyle w:val="Heading1"/>
      </w:pPr>
      <w:r>
        <w:t xml:space="preserve">Experiment Protocol: Sales Executive Performance in United Kingdom Birmingham</w:t>
      </w:r>
    </w:p>
    <w:p>
      <w:pPr>
        <w:pStyle w:val="FirstParagraph"/>
      </w:pPr>
      <w:r>
        <w:rPr>
          <w:bCs/>
          <w:b/>
        </w:rPr>
        <w:t xml:space="preserve">Document ID:</w:t>
      </w:r>
      <w:r>
        <w:t xml:space="preserve"> </w:t>
      </w:r>
      <w:r>
        <w:t xml:space="preserve">EP-SE-BHM-2024-001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Birmingham, United Kingdom</w:t>
      </w:r>
    </w:p>
    <w:p>
      <w:pPr>
        <w:pStyle w:val="BodyText"/>
      </w:pPr>
      <w:r>
        <w:rPr>
          <w:bCs/>
          <w:b/>
        </w:rPr>
        <w:t xml:space="preserve">Role Under Study:</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consultative sales methodology implemented by Sales Executives operating within the Birmingham region of the United Kingdom. Birmingham, as a major commercial hub in the Midlands, presents a unique market environment characterized by a diverse industrial base, ranging from advanced manufacturing to digital services. The objective of this experiment is to determine whether the adoption of the "Value-First Engagement" framework significantly improves conversion rates and average deal size compared to the traditional transactional approach currently used by the organization.</w:t>
      </w:r>
    </w:p>
    <w:p>
      <w:pPr>
        <w:pStyle w:val="BodyText"/>
      </w:pPr>
      <w:r>
        <w:t xml:space="preserve">The Sales Executive role in this context is critical, as these individuals serve as the primary interface between the company and potential clients in the West Midlands. Understanding how specific behavioral changes impact performance in this specific geographic and cultural context is essential for broader strategic planning.</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the "Value-First Engagement" framework on the win rate of Sales Executives in Birmingham.</w:t>
      </w:r>
    </w:p>
    <w:p>
      <w:pPr>
        <w:numPr>
          <w:ilvl w:val="0"/>
          <w:numId w:val="1001"/>
        </w:numPr>
        <w:pStyle w:val="Compact"/>
      </w:pPr>
      <w:r>
        <w:t xml:space="preserve">To assess changes in the sales cycle length when the new methodology is applied.</w:t>
      </w:r>
    </w:p>
    <w:p>
      <w:pPr>
        <w:numPr>
          <w:ilvl w:val="0"/>
          <w:numId w:val="1001"/>
        </w:numPr>
        <w:pStyle w:val="Compact"/>
      </w:pPr>
      <w:r>
        <w:t xml:space="preserve">To evaluate customer satisfaction scores (CSAT) post-interaction for deals closed using the new approach.</w:t>
      </w:r>
    </w:p>
    <w:p>
      <w:pPr>
        <w:numPr>
          <w:ilvl w:val="0"/>
          <w:numId w:val="1001"/>
        </w:numPr>
        <w:pStyle w:val="Compact"/>
      </w:pPr>
      <w:r>
        <w:t xml:space="preserve">To identify specific regional factors in United Kingdom Birmingham that may influence the success of this sales strategy.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The Sales Executives based in the Birmingham office will be randomly assigned to one of two groups: the Control Group and the Experimental Group. This randomization ensures that any differences in outcomes can be attributed to the sales methodology rather than individual skill disparities or external market factors.</w:t>
      </w:r>
    </w:p>
    <w:bookmarkEnd w:id="23"/>
    <w:bookmarkStart w:id="24" w:name="participants"/>
    <w:p>
      <w:pPr>
        <w:pStyle w:val="Heading3"/>
      </w:pPr>
      <w:r>
        <w:t xml:space="preserve">3.2 Participants</w:t>
      </w:r>
    </w:p>
    <w:p>
      <w:pPr>
        <w:pStyle w:val="FirstParagraph"/>
      </w:pPr>
      <w:r>
        <w:t xml:space="preserve">The participants will consist of 40 Sales Executives currently employed in the Birmingham branch. All participants must have at least 12 months of experience in their role to ensure a baseline level of competence. The sample size is calculated to provide a statistical power of 80% to detect a medium effect size.</w:t>
      </w:r>
    </w:p>
    <w:bookmarkEnd w:id="24"/>
    <w:bookmarkStart w:id="25" w:name="intervention"/>
    <w:p>
      <w:pPr>
        <w:pStyle w:val="Heading3"/>
      </w:pPr>
      <w:r>
        <w:t xml:space="preserve">3.3 Intervention</w:t>
      </w:r>
    </w:p>
    <w:p>
      <w:pPr>
        <w:pStyle w:val="FirstParagraph"/>
      </w:pPr>
      <w:r>
        <w:rPr>
          <w:bCs/>
          <w:b/>
        </w:rPr>
        <w:t xml:space="preserve">Control Group:</w:t>
      </w:r>
      <w:r>
        <w:t xml:space="preserve"> </w:t>
      </w:r>
      <w:r>
        <w:t xml:space="preserve">These Sales Executives will continue to use the existing transactional sales playbook, focusing on product features and price competitiveness.</w:t>
      </w:r>
    </w:p>
    <w:p>
      <w:pPr>
        <w:pStyle w:val="BodyText"/>
      </w:pPr>
      <w:r>
        <w:rPr>
          <w:bCs/>
          <w:b/>
        </w:rPr>
        <w:t xml:space="preserve">Experimental Group:</w:t>
      </w:r>
      <w:r>
        <w:t xml:space="preserve"> </w:t>
      </w:r>
      <w:r>
        <w:t xml:space="preserve">These Sales Executives will undergo a two-day intensive training workshop on the "Value-First Engagement" framework. This methodology emphasizes deep discovery, solution-based selling, and long-term relationship building. They will be provided with new digital tools to facilitate personalized client proposals.</w:t>
      </w:r>
    </w:p>
    <w:bookmarkEnd w:id="25"/>
    <w:bookmarkEnd w:id="26"/>
    <w:bookmarkStart w:id="27" w:name="data-collection"/>
    <w:p>
      <w:pPr>
        <w:pStyle w:val="Heading2"/>
      </w:pPr>
      <w:r>
        <w:t xml:space="preserve">4. Data Collection</w:t>
      </w:r>
    </w:p>
    <w:p>
      <w:pPr>
        <w:pStyle w:val="FirstParagraph"/>
      </w:pPr>
      <w:r>
        <w:t xml:space="preserve">Data will be collected over a period of three months. The following metrics will be tracked for each Sales Executive: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Source</w:t>
            </w:r>
          </w:p>
        </w:tc>
      </w:tr>
      <w:tr>
        <w:tc>
          <w:tcPr/>
          <w:p>
            <w:pPr>
              <w:pStyle w:val="Compact"/>
              <w:jc w:val="left"/>
            </w:pPr>
            <w:r>
              <w:t xml:space="preserve">Conversion Rate</w:t>
            </w:r>
          </w:p>
        </w:tc>
        <w:tc>
          <w:tcPr/>
          <w:p>
            <w:pPr>
              <w:pStyle w:val="Compact"/>
              <w:jc w:val="left"/>
            </w:pPr>
            <w:r>
              <w:t xml:space="preserve">Percentage of qualified leads converted to closed deals.</w:t>
            </w:r>
          </w:p>
        </w:tc>
        <w:tc>
          <w:tcPr/>
          <w:p>
            <w:pPr>
              <w:pStyle w:val="Compact"/>
              <w:jc w:val="left"/>
            </w:pPr>
            <w:r>
              <w:t xml:space="preserve">CRM System</w:t>
            </w:r>
          </w:p>
        </w:tc>
      </w:tr>
      <w:tr>
        <w:tc>
          <w:tcPr/>
          <w:p>
            <w:pPr>
              <w:pStyle w:val="Compact"/>
              <w:jc w:val="left"/>
            </w:pPr>
            <w:r>
              <w:t xml:space="preserve">Average Deal Size</w:t>
            </w:r>
          </w:p>
        </w:tc>
        <w:tc>
          <w:tcPr/>
          <w:p>
            <w:pPr>
              <w:pStyle w:val="Compact"/>
              <w:jc w:val="left"/>
            </w:pPr>
            <w:r>
              <w:t xml:space="preserve">Mean value of closed contracts in GBP.</w:t>
            </w:r>
          </w:p>
        </w:tc>
        <w:tc>
          <w:tcPr/>
          <w:p>
            <w:pPr>
              <w:pStyle w:val="Compact"/>
              <w:jc w:val="left"/>
            </w:pPr>
            <w:r>
              <w:t xml:space="preserve">CRM System</w:t>
            </w:r>
          </w:p>
        </w:tc>
      </w:tr>
      <w:tr>
        <w:tc>
          <w:tcPr/>
          <w:p>
            <w:pPr>
              <w:pStyle w:val="Compact"/>
              <w:jc w:val="left"/>
            </w:pPr>
            <w:r>
              <w:t xml:space="preserve">Sales Cycle Duration</w:t>
            </w:r>
          </w:p>
        </w:tc>
        <w:tc>
          <w:tcPr/>
          <w:p>
            <w:pPr>
              <w:pStyle w:val="Compact"/>
              <w:jc w:val="left"/>
            </w:pPr>
            <w:r>
              <w:t xml:space="preserve">Number of days from initial contact to contract signing.</w:t>
            </w:r>
          </w:p>
        </w:tc>
        <w:tc>
          <w:tcPr/>
          <w:p>
            <w:pPr>
              <w:pStyle w:val="Compact"/>
              <w:jc w:val="left"/>
            </w:pPr>
            <w:r>
              <w:t xml:space="preserve">CRM System</w:t>
            </w:r>
          </w:p>
        </w:tc>
      </w:tr>
      <w:tr>
        <w:tc>
          <w:tcPr/>
          <w:p>
            <w:pPr>
              <w:pStyle w:val="Compact"/>
              <w:jc w:val="left"/>
            </w:pPr>
            <w:r>
              <w:t xml:space="preserve">Customer Satisfaction (CSAT)</w:t>
            </w:r>
          </w:p>
        </w:tc>
        <w:tc>
          <w:tcPr/>
          <w:p>
            <w:pPr>
              <w:pStyle w:val="Compact"/>
              <w:jc w:val="left"/>
            </w:pPr>
            <w:r>
              <w:t xml:space="preserve">Post-sale survey score on a scale of 1-10.</w:t>
            </w:r>
          </w:p>
        </w:tc>
        <w:tc>
          <w:tcPr/>
          <w:p>
            <w:pPr>
              <w:pStyle w:val="Compact"/>
              <w:jc w:val="left"/>
            </w:pPr>
            <w:r>
              <w:t xml:space="preserve">Automated Email Survey</w:t>
            </w:r>
          </w:p>
        </w:tc>
      </w:tr>
    </w:tbl>
    <w:bookmarkEnd w:id="27"/>
    <w:bookmarkStart w:id="28" w:name="ethical-considerations-and-compliance"/>
    <w:p>
      <w:pPr>
        <w:pStyle w:val="Heading2"/>
      </w:pPr>
      <w:r>
        <w:t xml:space="preserve">5. Ethical Considerations and Compliance</w:t>
      </w:r>
    </w:p>
    <w:p>
      <w:pPr>
        <w:pStyle w:val="FirstParagraph"/>
      </w:pPr>
      <w:r>
        <w:t xml:space="preserve">This experiment will be conducted in strict adherence to the General Data Protection Regulation (GDPR) applicable in the United Kingdom. All personal data of Sales Executives and clients will be anonymized during analysis. Participants will provide informed consent prior to enrollment. The experiment has been reviewed by the internal ethics committee to ensure that no participant is placed at a disadvantage that could jeopardize their employment status.</w:t>
      </w:r>
    </w:p>
    <w:bookmarkEnd w:id="28"/>
    <w:bookmarkStart w:id="29" w:name="risk-management"/>
    <w:p>
      <w:pPr>
        <w:pStyle w:val="Heading2"/>
      </w:pPr>
      <w:r>
        <w:t xml:space="preserve">6. Risk Management</w:t>
      </w:r>
    </w:p>
    <w:p>
      <w:pPr>
        <w:pStyle w:val="FirstParagraph"/>
      </w:pPr>
      <w:r>
        <w:t xml:space="preserve">Potential risks include:</w:t>
      </w:r>
    </w:p>
    <w:p>
      <w:pPr>
        <w:numPr>
          <w:ilvl w:val="0"/>
          <w:numId w:val="1002"/>
        </w:numPr>
        <w:pStyle w:val="Compact"/>
      </w:pPr>
      <w:r>
        <w:rPr>
          <w:bCs/>
          <w:b/>
        </w:rPr>
        <w:t xml:space="preserve">Market Volatility:</w:t>
      </w:r>
      <w:r>
        <w:t xml:space="preserve"> </w:t>
      </w:r>
      <w:r>
        <w:t xml:space="preserve">Economic fluctuations in Birmingham could impact sales independently of the methodology. This will be mitigated by monitoring local economic indicators.</w:t>
      </w:r>
    </w:p>
    <w:p>
      <w:pPr>
        <w:numPr>
          <w:ilvl w:val="0"/>
          <w:numId w:val="1002"/>
        </w:numPr>
        <w:pStyle w:val="Compact"/>
      </w:pPr>
      <w:r>
        <w:rPr>
          <w:bCs/>
          <w:b/>
        </w:rPr>
        <w:t xml:space="preserve">Contamination:</w:t>
      </w:r>
      <w:r>
        <w:t xml:space="preserve"> </w:t>
      </w:r>
      <w:r>
        <w:t xml:space="preserve">Sales Executives in the Control Group might adopt techniques from the Experimental Group. Regular audits of sales calls will be conducted to ensure protocol adherence.</w:t>
      </w:r>
    </w:p>
    <w:p>
      <w:pPr>
        <w:numPr>
          <w:ilvl w:val="0"/>
          <w:numId w:val="1002"/>
        </w:numPr>
        <w:pStyle w:val="Compact"/>
      </w:pPr>
      <w:r>
        <w:rPr>
          <w:bCs/>
          <w:b/>
        </w:rPr>
        <w:t xml:space="preserve">Attrition:</w:t>
      </w:r>
      <w:r>
        <w:t xml:space="preserve"> </w:t>
      </w:r>
      <w:r>
        <w:t xml:space="preserve">If a Sales Executive leaves the company during the study, their data will be excluded from the final analysis.</w:t>
      </w:r>
    </w:p>
    <w:bookmarkEnd w:id="29"/>
    <w:bookmarkStart w:id="30" w:name="analysis-plan"/>
    <w:p>
      <w:pPr>
        <w:pStyle w:val="Heading2"/>
      </w:pPr>
      <w:r>
        <w:t xml:space="preserve">7. Analysis Plan</w:t>
      </w:r>
    </w:p>
    <w:p>
      <w:pPr>
        <w:pStyle w:val="FirstParagraph"/>
      </w:pPr>
      <w:r>
        <w:t xml:space="preserve">Statistical analysis will be performed using SPSS software. An independent samples t-test will be used to compare the mean conversion rates and average deal sizes between the Control and Experimental groups. A p-value of less than 0.05 will be considered statistically significant. Qualitative feedback from Sales Executives regarding the usability of the new framework will also be analyzed using thematic analysis.</w:t>
      </w:r>
    </w:p>
    <w:bookmarkEnd w:id="30"/>
    <w:bookmarkStart w:id="31" w:name="timeline"/>
    <w:p>
      <w:pPr>
        <w:pStyle w:val="Heading2"/>
      </w:pPr>
      <w:r>
        <w:t xml:space="preserve">8. Timeline</w:t>
      </w:r>
    </w:p>
    <w:p>
      <w:pPr>
        <w:numPr>
          <w:ilvl w:val="0"/>
          <w:numId w:val="1003"/>
        </w:numPr>
        <w:pStyle w:val="Compact"/>
      </w:pPr>
      <w:r>
        <w:rPr>
          <w:bCs/>
          <w:b/>
        </w:rPr>
        <w:t xml:space="preserve">Week 1-2:</w:t>
      </w:r>
      <w:r>
        <w:t xml:space="preserve"> </w:t>
      </w:r>
      <w:r>
        <w:t xml:space="preserve">Recruitment and randomization of Sales Executives.</w:t>
      </w:r>
    </w:p>
    <w:p>
      <w:pPr>
        <w:numPr>
          <w:ilvl w:val="0"/>
          <w:numId w:val="1003"/>
        </w:numPr>
        <w:pStyle w:val="Compact"/>
      </w:pPr>
      <w:r>
        <w:rPr>
          <w:bCs/>
          <w:b/>
        </w:rPr>
        <w:t xml:space="preserve">Week 3:</w:t>
      </w:r>
      <w:r>
        <w:t xml:space="preserve"> </w:t>
      </w:r>
      <w:r>
        <w:t xml:space="preserve">Training for the Experimental Group.</w:t>
      </w:r>
    </w:p>
    <w:p>
      <w:pPr>
        <w:numPr>
          <w:ilvl w:val="0"/>
          <w:numId w:val="1003"/>
        </w:numPr>
        <w:pStyle w:val="Compact"/>
      </w:pPr>
      <w:r>
        <w:rPr>
          <w:bCs/>
          <w:b/>
        </w:rPr>
        <w:t xml:space="preserve">Week 4-14:</w:t>
      </w:r>
      <w:r>
        <w:t xml:space="preserve"> </w:t>
      </w:r>
      <w:r>
        <w:t xml:space="preserve">Data collection period.</w:t>
      </w:r>
    </w:p>
    <w:p>
      <w:pPr>
        <w:numPr>
          <w:ilvl w:val="0"/>
          <w:numId w:val="1003"/>
        </w:numPr>
        <w:pStyle w:val="Compact"/>
      </w:pPr>
      <w:r>
        <w:rPr>
          <w:bCs/>
          <w:b/>
        </w:rPr>
        <w:t xml:space="preserve">Week 15-16:</w:t>
      </w:r>
      <w:r>
        <w:t xml:space="preserve"> </w:t>
      </w:r>
      <w:r>
        <w:t xml:space="preserve">Data analysis and report generation.</w:t>
      </w:r>
    </w:p>
    <w:bookmarkEnd w:id="31"/>
    <w:bookmarkStart w:id="32" w:name="conclusion"/>
    <w:p>
      <w:pPr>
        <w:pStyle w:val="Heading2"/>
      </w:pPr>
      <w:r>
        <w:t xml:space="preserve">9. Conclusion</w:t>
      </w:r>
    </w:p>
    <w:p>
      <w:pPr>
        <w:pStyle w:val="FirstParagraph"/>
      </w:pPr>
      <w:r>
        <w:t xml:space="preserve">This Experiment Protocol provides a structured approach to evaluating the efficacy of a new sales methodology for Sales Executives in United Kingdom Birmingham. By rigorously testing the "Value-First Engagement" framework, the organization aims to enhance its sales performance, improve customer relationships, and gain valuable insights into the specific dynamics of the Birmingham market. The findings will inform future training programs and strategic decisions across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United Kingdom Birmingham</dc:title>
  <dc:creator/>
  <dc:language>en</dc:language>
  <cp:keywords/>
  <dcterms:created xsi:type="dcterms:W3CDTF">2026-10-10T04:32:55Z</dcterms:created>
  <dcterms:modified xsi:type="dcterms:W3CDTF">2026-10-10T04:32:55Z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