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Australia</w:t>
      </w:r>
      <w:r>
        <w:t xml:space="preserve"> </w:t>
      </w:r>
      <w:r>
        <w:t xml:space="preserve">Brisbane</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Evaluating the Efficacy of Culturally Responsive Social Worker Interventions for At-Risk Youth in Australia Brisbane</w:t>
      </w:r>
    </w:p>
    <w:p>
      <w:pPr>
        <w:pStyle w:val="BodyText"/>
      </w:pPr>
      <w:r>
        <w:rPr>
          <w:bCs/>
          <w:b/>
        </w:rPr>
        <w:t xml:space="preserve">Protocol ID:</w:t>
      </w:r>
      <w:r>
        <w:t xml:space="preserve"> </w:t>
      </w:r>
      <w:r>
        <w:t xml:space="preserve">BRIS-SW-2024-001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Australia Brisbane, Queensland</w:t>
      </w:r>
    </w:p>
    <w:bookmarkEnd w:id="20"/>
    <w:p>
      <w:pPr>
        <w:pStyle w:val="BodyText"/>
      </w:pPr>
      <w:r>
        <w:t xml:space="preserve">1. Introduction and Background</w:t>
      </w:r>
    </w:p>
    <w:p>
      <w:pPr>
        <w:pStyle w:val="BodyText"/>
      </w:pPr>
      <w:r>
        <w:t xml:space="preserve">This Experiment Protocol outlines the methodology for a controlled study designed to assess the impact of specific Social Worker interventions on vulnerable youth populations within the Australia Brisbane metropolitan area. Brisbane, as a rapidly growing urban center in Australia, presents unique socio-economic challenges, including housing instability, intergenerational trauma among Indigenous communities, and rising youth mental health concerns.</w:t>
      </w:r>
    </w:p>
    <w:p>
      <w:pPr>
        <w:pStyle w:val="BodyText"/>
      </w:pPr>
      <w:r>
        <w:t xml:space="preserve">The role of the Social Worker in this context is critical. This study aims to move beyond traditional case management models to test a new, integrated framework of support. The primary objective is to determine whether a targeted, culturally responsive intervention delivered by qualified Social Workers can significantly improve psychosocial outcomes compared to standard care provided in the region.</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evaluate the effectiveness of a 12-week intensive Social Worker intervention program on reducing anxiety and depression scores among participants in Australia Brisbane.</w:t>
      </w:r>
    </w:p>
    <w:p>
      <w:pPr>
        <w:numPr>
          <w:ilvl w:val="0"/>
          <w:numId w:val="1001"/>
        </w:numPr>
        <w:pStyle w:val="Compact"/>
      </w:pPr>
      <w:r>
        <w:t xml:space="preserve">To assess the impact of the intervention on housing stability and educational engagement.</w:t>
      </w:r>
    </w:p>
    <w:p>
      <w:pPr>
        <w:numPr>
          <w:ilvl w:val="0"/>
          <w:numId w:val="1001"/>
        </w:numPr>
        <w:pStyle w:val="Compact"/>
      </w:pPr>
      <w:r>
        <w:t xml:space="preserve">To analyze the correlation between culturally specific Social Worker practices and client trust levels within diverse Brisbane communities.</w:t>
      </w:r>
    </w:p>
    <w:p>
      <w:pPr>
        <w:numPr>
          <w:ilvl w:val="0"/>
          <w:numId w:val="1001"/>
        </w:numPr>
        <w:pStyle w:val="Compact"/>
      </w:pPr>
      <w:r>
        <w:t xml:space="preserve">To provide empirical data to inform policy changes regarding social services funding in Queensland.</w:t>
      </w:r>
    </w:p>
    <w:p>
      <w:pPr>
        <w:pStyle w:val="FirstParagraph"/>
      </w:pPr>
      <w:r>
        <w:t xml:space="preserve">3. Methodology</w:t>
      </w:r>
    </w:p>
    <w:p>
      <w:pPr>
        <w:pStyle w:val="BodyText"/>
      </w:pPr>
      <w:r>
        <w:t xml:space="preserve">This study will utilize a randomized controlled trial (RCT) design. Participants will be recruited from community centers, schools, and health clinics across various suburbs of Australia Brisbane, ensuring a representative sample of the city's demographic diversity.</w:t>
      </w:r>
    </w:p>
    <w:bookmarkStart w:id="21" w:name="participants"/>
    <w:p>
      <w:pPr>
        <w:pStyle w:val="Heading3"/>
      </w:pPr>
      <w:r>
        <w:t xml:space="preserve">3.1 Participants</w:t>
      </w:r>
    </w:p>
    <w:p>
      <w:pPr>
        <w:pStyle w:val="FirstParagraph"/>
      </w:pPr>
      <w:r>
        <w:t xml:space="preserve">The target population includes individuals aged 16 to 24 years who are currently receiving support from government or non-government organizations in Brisbane. Inclusion criteria require participants to be residents of Australia Brisbane for at least six months and to have a documented history of social vulnerability (e.g., homelessness, family violence, or mental health diagnosis).</w:t>
      </w:r>
    </w:p>
    <w:bookmarkEnd w:id="21"/>
    <w:bookmarkStart w:id="22" w:name="intervention-group"/>
    <w:p>
      <w:pPr>
        <w:pStyle w:val="Heading3"/>
      </w:pPr>
      <w:r>
        <w:t xml:space="preserve">3.2 Intervention Group</w:t>
      </w:r>
    </w:p>
    <w:p>
      <w:pPr>
        <w:pStyle w:val="FirstParagraph"/>
      </w:pPr>
      <w:r>
        <w:t xml:space="preserve">Participants in the intervention group will be assigned a dedicated Social Worker trained in the "Brisbane Integrated Support Model." This model emphasizes:</w:t>
      </w:r>
    </w:p>
    <w:p>
      <w:pPr>
        <w:numPr>
          <w:ilvl w:val="0"/>
          <w:numId w:val="1002"/>
        </w:numPr>
        <w:pStyle w:val="Compact"/>
      </w:pPr>
      <w:r>
        <w:t xml:space="preserve">Strengths-based practice.</w:t>
      </w:r>
    </w:p>
    <w:p>
      <w:pPr>
        <w:numPr>
          <w:ilvl w:val="0"/>
          <w:numId w:val="1002"/>
        </w:numPr>
        <w:pStyle w:val="Compact"/>
      </w:pPr>
      <w:r>
        <w:t xml:space="preserve">Cultural safety, particularly regarding Aboriginal and Torres Strait Islander heritage.</w:t>
      </w:r>
    </w:p>
    <w:p>
      <w:pPr>
        <w:numPr>
          <w:ilvl w:val="0"/>
          <w:numId w:val="1002"/>
        </w:numPr>
        <w:pStyle w:val="Compact"/>
      </w:pPr>
      <w:r>
        <w:t xml:space="preserve">Direct advocacy with local Brisbane housing and employment agencies.</w:t>
      </w:r>
    </w:p>
    <w:p>
      <w:pPr>
        <w:numPr>
          <w:ilvl w:val="0"/>
          <w:numId w:val="1002"/>
        </w:numPr>
        <w:pStyle w:val="Compact"/>
      </w:pPr>
      <w:r>
        <w:t xml:space="preserve">Weekly face-to-face or telehealth sessions for 12 weeks.</w:t>
      </w:r>
    </w:p>
    <w:bookmarkEnd w:id="22"/>
    <w:bookmarkStart w:id="23" w:name="control-group"/>
    <w:p>
      <w:pPr>
        <w:pStyle w:val="Heading3"/>
      </w:pPr>
      <w:r>
        <w:t xml:space="preserve">3.3 Control Group</w:t>
      </w:r>
    </w:p>
    <w:p>
      <w:pPr>
        <w:pStyle w:val="FirstParagraph"/>
      </w:pPr>
      <w:r>
        <w:t xml:space="preserve">Participants in the control group will continue to receive standard care as currently provided by social services in Australia Brisbane. This typically involves episodic contact with case managers and referral to external services without the intensive, coordinated approach of the intervention group.</w:t>
      </w:r>
    </w:p>
    <w:bookmarkEnd w:id="23"/>
    <w:p>
      <w:pPr>
        <w:pStyle w:val="BodyText"/>
      </w:pPr>
      <w:r>
        <w:t xml:space="preserve">4. Data Collection and Measurement</w:t>
      </w:r>
    </w:p>
    <w:p>
      <w:pPr>
        <w:pStyle w:val="BodyText"/>
      </w:pPr>
      <w:r>
        <w:t xml:space="preserve">Data will be collected at three intervals: baseline (Week 0), mid-point (Week 6), and post-intervention (Week 12). The Social Worker assigned to each participant will not be responsible for data analysis to prevent bias.</w:t>
      </w:r>
    </w:p>
    <w:p>
      <w:pPr>
        <w:pStyle w:val="BodyText"/>
      </w:pPr>
      <w:r>
        <w:t xml:space="preserve">Key metrics include:</w:t>
      </w:r>
    </w:p>
    <w:p>
      <w:pPr>
        <w:numPr>
          <w:ilvl w:val="0"/>
          <w:numId w:val="1003"/>
        </w:numPr>
        <w:pStyle w:val="Compact"/>
      </w:pPr>
      <w:r>
        <w:rPr>
          <w:bCs/>
          <w:b/>
        </w:rPr>
        <w:t xml:space="preserve">Psychological Well-being:</w:t>
      </w:r>
      <w:r>
        <w:t xml:space="preserve"> </w:t>
      </w:r>
      <w:r>
        <w:t xml:space="preserve">Measured using the Kessler Psychological Distress Scale (K10).</w:t>
      </w:r>
    </w:p>
    <w:p>
      <w:pPr>
        <w:numPr>
          <w:ilvl w:val="0"/>
          <w:numId w:val="1003"/>
        </w:numPr>
        <w:pStyle w:val="Compact"/>
      </w:pPr>
      <w:r>
        <w:rPr>
          <w:bCs/>
          <w:b/>
        </w:rPr>
        <w:t xml:space="preserve">Social Functioning:</w:t>
      </w:r>
      <w:r>
        <w:t xml:space="preserve"> </w:t>
      </w:r>
      <w:r>
        <w:t xml:space="preserve">Assessed via the Social Functioning Scale (SFS).</w:t>
      </w:r>
    </w:p>
    <w:p>
      <w:pPr>
        <w:numPr>
          <w:ilvl w:val="0"/>
          <w:numId w:val="1003"/>
        </w:numPr>
        <w:pStyle w:val="Compact"/>
      </w:pPr>
      <w:r>
        <w:rPr>
          <w:bCs/>
          <w:b/>
        </w:rPr>
        <w:t xml:space="preserve">Service Utilization:</w:t>
      </w:r>
      <w:r>
        <w:t xml:space="preserve"> </w:t>
      </w:r>
      <w:r>
        <w:t xml:space="preserve">Tracking the number of emergency department visits and crisis interventions required.</w:t>
      </w:r>
    </w:p>
    <w:p>
      <w:pPr>
        <w:numPr>
          <w:ilvl w:val="0"/>
          <w:numId w:val="1003"/>
        </w:numPr>
        <w:pStyle w:val="Compact"/>
      </w:pPr>
      <w:r>
        <w:rPr>
          <w:bCs/>
          <w:b/>
        </w:rPr>
        <w:t xml:space="preserve">Qualitative Feedback:</w:t>
      </w:r>
      <w:r>
        <w:t xml:space="preserve"> </w:t>
      </w:r>
      <w:r>
        <w:t xml:space="preserve">Semi-structured interviews conducted by independent researchers to gather participant perspectives on the Social Worker relationship.</w:t>
      </w:r>
    </w:p>
    <w:p>
      <w:pPr>
        <w:pStyle w:val="FirstParagraph"/>
      </w:pPr>
      <w:r>
        <w:t xml:space="preserve">5. Ethical Considerations</w:t>
      </w:r>
    </w:p>
    <w:p>
      <w:pPr>
        <w:pStyle w:val="BodyText"/>
      </w:pPr>
      <w:r>
        <w:t xml:space="preserve">This Experiment Protocol has been designed in strict accordance with the National Statement on Ethical Conduct in Human Research (Australia). Ethical approval will be sought from the relevant Human Research Ethics Committee (HREC) in Queensland.</w:t>
      </w:r>
    </w:p>
    <w:p>
      <w:pPr>
        <w:pStyle w:val="BodyText"/>
      </w:pPr>
      <w:r>
        <w:t xml:space="preserve">Informed consent will be obtained from all participants. Given the vulnerable nature of the population in Australia Brisbane, special attention will be paid to ensuring that consent is voluntary and that participants understand their right to withdraw from the study at any time without affecting their access to essential services.</w:t>
      </w:r>
    </w:p>
    <w:p>
      <w:pPr>
        <w:pStyle w:val="BodyText"/>
      </w:pPr>
      <w:r>
        <w:t xml:space="preserve">Confidentiality will be maintained in compliance with the Privacy Act 1988 (Cth). All data will be de-identified and stored on secure servers located within Australia.</w:t>
      </w:r>
    </w:p>
    <w:p>
      <w:pPr>
        <w:pStyle w:val="BodyText"/>
      </w:pPr>
      <w:r>
        <w:t xml:space="preserve">6. Risk Management</w:t>
      </w:r>
    </w:p>
    <w:p>
      <w:pPr>
        <w:pStyle w:val="BodyText"/>
      </w:pPr>
      <w:r>
        <w:t xml:space="preserve">As this study involves vulnerable individuals, a robust risk management plan is essential. Social Workers involved in the experiment are mandated reporters under Queensland law. If a participant discloses information indicating immediate risk of harm to themselves or others, the Social Worker is obligated to follow standard safeguarding protocols, which may override confidentiality.</w:t>
      </w:r>
    </w:p>
    <w:p>
      <w:pPr>
        <w:pStyle w:val="BodyText"/>
      </w:pPr>
      <w:r>
        <w:t xml:space="preserve">Additionally, the study will monitor for "intervention fatigue." If participants in the control group show signs of significant deterioration compared to the intervention group, the protocol allows for early termination of the control status, offering them access to the intensive Social Worker support.</w:t>
      </w:r>
    </w:p>
    <w:p>
      <w:pPr>
        <w:pStyle w:val="BodyText"/>
      </w:pPr>
      <w:r>
        <w:t xml:space="preserve">7. Timeline</w:t>
      </w:r>
    </w:p>
    <w:p>
      <w:pPr>
        <w:numPr>
          <w:ilvl w:val="0"/>
          <w:numId w:val="1004"/>
        </w:numPr>
        <w:pStyle w:val="Compact"/>
      </w:pPr>
      <w:r>
        <w:rPr>
          <w:bCs/>
          <w:b/>
        </w:rPr>
        <w:t xml:space="preserve">Months 1-2:</w:t>
      </w:r>
      <w:r>
        <w:t xml:space="preserve"> </w:t>
      </w:r>
      <w:r>
        <w:t xml:space="preserve">Recruitment of Social Workers and training in the Brisbane Integrated Support Model.</w:t>
      </w:r>
    </w:p>
    <w:p>
      <w:pPr>
        <w:numPr>
          <w:ilvl w:val="0"/>
          <w:numId w:val="1004"/>
        </w:numPr>
        <w:pStyle w:val="Compact"/>
      </w:pPr>
      <w:r>
        <w:rPr>
          <w:bCs/>
          <w:b/>
        </w:rPr>
        <w:t xml:space="preserve">Months 3-6:</w:t>
      </w:r>
      <w:r>
        <w:t xml:space="preserve"> </w:t>
      </w:r>
      <w:r>
        <w:t xml:space="preserve">Participant recruitment and baseline data collection in Australia Brisbane.</w:t>
      </w:r>
    </w:p>
    <w:p>
      <w:pPr>
        <w:numPr>
          <w:ilvl w:val="0"/>
          <w:numId w:val="1004"/>
        </w:numPr>
        <w:pStyle w:val="Compact"/>
      </w:pPr>
      <w:r>
        <w:rPr>
          <w:bCs/>
          <w:b/>
        </w:rPr>
        <w:t xml:space="preserve">Months 7-10:</w:t>
      </w:r>
      <w:r>
        <w:t xml:space="preserve"> </w:t>
      </w:r>
      <w:r>
        <w:t xml:space="preserve">Implementation of the 12-week intervention.</w:t>
      </w:r>
    </w:p>
    <w:p>
      <w:pPr>
        <w:numPr>
          <w:ilvl w:val="0"/>
          <w:numId w:val="1004"/>
        </w:numPr>
        <w:pStyle w:val="Compact"/>
      </w:pPr>
      <w:r>
        <w:rPr>
          <w:bCs/>
          <w:b/>
        </w:rPr>
        <w:t xml:space="preserve">Months 11-12:</w:t>
      </w:r>
      <w:r>
        <w:t xml:space="preserve"> </w:t>
      </w:r>
      <w:r>
        <w:t xml:space="preserve">Post-intervention data collection and analysis.</w:t>
      </w:r>
    </w:p>
    <w:p>
      <w:pPr>
        <w:numPr>
          <w:ilvl w:val="0"/>
          <w:numId w:val="1004"/>
        </w:numPr>
        <w:pStyle w:val="Compact"/>
      </w:pPr>
      <w:r>
        <w:rPr>
          <w:bCs/>
          <w:b/>
        </w:rPr>
        <w:t xml:space="preserve">Month 13:</w:t>
      </w:r>
      <w:r>
        <w:t xml:space="preserve"> </w:t>
      </w:r>
      <w:r>
        <w:t xml:space="preserve">Reporting of findings to stakeholders and publication.</w:t>
      </w:r>
    </w:p>
    <w:p>
      <w:pPr>
        <w:pStyle w:val="FirstParagraph"/>
      </w:pPr>
      <w:r>
        <w:t xml:space="preserve">8. Conclusion</w:t>
      </w:r>
    </w:p>
    <w:p>
      <w:pPr>
        <w:pStyle w:val="BodyText"/>
      </w:pPr>
      <w:r>
        <w:t xml:space="preserve">This Experiment Protocol represents a significant step forward in understanding how Social Worker interventions can be optimized for the specific context of Australia Brisbane. By rigorously testing a culturally responsive, intensive model, this study aims to provide evidence-based recommendations that can improve the lives of vulnerable youth across Queensland. The findings will contribute to the broader global discourse on social work efficacy while addressing local needs.</w:t>
      </w:r>
    </w:p>
    <w:p>
      <w:pPr>
        <w:pStyle w:val="BodyText"/>
      </w:pPr>
      <w:r>
        <w:rPr>
          <w:bCs/>
          <w:b/>
        </w:rPr>
        <w:t xml:space="preserve">Document Control:</w:t>
      </w:r>
      <w:r>
        <w:t xml:space="preserve"> </w:t>
      </w:r>
      <w:r>
        <w:t xml:space="preserve">This document is the property of the Research Ethics Board. Unauthorized distribution is prohibited.</w:t>
      </w:r>
    </w:p>
    <w:p>
      <w:pPr>
        <w:pStyle w:val="BodyText"/>
      </w:pPr>
      <w:r>
        <w:rPr>
          <w:bCs/>
          <w:b/>
        </w:rPr>
        <w:t xml:space="preserve">Contact:</w:t>
      </w:r>
      <w:r>
        <w:t xml:space="preserve"> </w:t>
      </w:r>
      <w:r>
        <w:t xml:space="preserve">Research Administration Office, 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Australia Brisbane</dc:title>
  <dc:creator/>
  <dc:language>en</dc:language>
  <cp:keywords/>
  <dcterms:created xsi:type="dcterms:W3CDTF">2026-10-10T02:30:35Z</dcterms:created>
  <dcterms:modified xsi:type="dcterms:W3CDTF">2026-10-10T02:30:35Z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