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Social</w:t>
      </w:r>
      <w:r>
        <w:t xml:space="preserve"> </w:t>
      </w:r>
      <w:r>
        <w:t xml:space="preserve">Worker</w:t>
      </w:r>
      <w:r>
        <w:t xml:space="preserve"> </w:t>
      </w:r>
      <w:r>
        <w:t xml:space="preserve">Intervention</w:t>
      </w:r>
      <w:r>
        <w:t xml:space="preserve"> </w:t>
      </w:r>
      <w:r>
        <w:t xml:space="preserve">in</w:t>
      </w:r>
      <w:r>
        <w:t xml:space="preserve"> </w:t>
      </w:r>
      <w:r>
        <w:t xml:space="preserve">Australia</w:t>
      </w:r>
      <w:r>
        <w:t xml:space="preserve"> </w:t>
      </w:r>
      <w:r>
        <w:t xml:space="preserve">Melbourne</w:t>
      </w:r>
    </w:p>
    <w:bookmarkStart w:id="20" w:name="Xdd7111475a3bd18abb1412d4fe0a4534af426cb"/>
    <w:p>
      <w:pPr>
        <w:pStyle w:val="Heading1"/>
      </w:pPr>
      <w:r>
        <w:t xml:space="preserve">Experiment Protocol: Evaluating the Impact of Integrated Social Worker Interventions on Housing Stability in Australia Melbourne</w:t>
      </w:r>
    </w:p>
    <w:p>
      <w:pPr>
        <w:pStyle w:val="FirstParagraph"/>
      </w:pPr>
      <w:r>
        <w:rPr>
          <w:bCs/>
          <w:b/>
        </w:rPr>
        <w:t xml:space="preserve">Protocol ID:</w:t>
      </w:r>
      <w:r>
        <w:t xml:space="preserve"> </w:t>
      </w:r>
      <w:r>
        <w:t xml:space="preserve">MEL-SW-2024-001</w:t>
      </w:r>
    </w:p>
    <w:p>
      <w:pPr>
        <w:pStyle w:val="BodyText"/>
      </w:pPr>
      <w:r>
        <w:rPr>
          <w:bCs/>
          <w:b/>
        </w:rPr>
        <w:t xml:space="preserve">Location:</w:t>
      </w:r>
      <w:r>
        <w:t xml:space="preserve"> </w:t>
      </w:r>
      <w:r>
        <w:t xml:space="preserve">Australia Melbourne (Greater Melbourne Area)</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End w:id="20"/>
    <w:p>
      <w:pPr>
        <w:pStyle w:val="BodyText"/>
      </w:pPr>
      <w:r>
        <w:t xml:space="preserve">1. Introduction and Background</w:t>
      </w:r>
    </w:p>
    <w:p>
      <w:pPr>
        <w:pStyle w:val="BodyText"/>
      </w:pPr>
      <w:r>
        <w:t xml:space="preserve">This Experiment Protocol outlines the methodology for a controlled study designed to assess the efficacy of specialized Social Worker interventions within the context of Australia Melbourne. Melbourne is currently facing significant challenges regarding housing affordability, homelessness, and social isolation. The role of the Social Worker in this environment is critical, yet there is a need for empirical data to determine which specific intervention models yield the best outcomes for vulnerable populations.</w:t>
      </w:r>
    </w:p>
    <w:p>
      <w:pPr>
        <w:pStyle w:val="BodyText"/>
      </w:pPr>
      <w:r>
        <w:t xml:space="preserve">This protocol adheres to the ethical standards set by the Australian Research Council (ARC) and the Australian Association of Social Workers (AASW). The primary objective is to evaluate how a "Housing First" model, facilitated by dedicated Social Workers, compares to traditional step-down housing models in improving long-term stability for individuals experiencing homelessness in Melbourne.</w:t>
      </w:r>
    </w:p>
    <w:p>
      <w:pPr>
        <w:pStyle w:val="BodyText"/>
      </w:pPr>
      <w:r>
        <w:t xml:space="preserve">2. Objectives</w:t>
      </w:r>
    </w:p>
    <w:p>
      <w:pPr>
        <w:pStyle w:val="BodyText"/>
      </w:pPr>
      <w:r>
        <w:t xml:space="preserve">The specific objectives of this experiment are:</w:t>
      </w:r>
    </w:p>
    <w:p>
      <w:pPr>
        <w:numPr>
          <w:ilvl w:val="0"/>
          <w:numId w:val="1001"/>
        </w:numPr>
        <w:pStyle w:val="Compact"/>
      </w:pPr>
      <w:r>
        <w:t xml:space="preserve">To measure the impact of intensive Social Worker support on housing retention rates over a 12-month period in Australia Melbourne.</w:t>
      </w:r>
    </w:p>
    <w:p>
      <w:pPr>
        <w:numPr>
          <w:ilvl w:val="0"/>
          <w:numId w:val="1001"/>
        </w:numPr>
        <w:pStyle w:val="Compact"/>
      </w:pPr>
      <w:r>
        <w:t xml:space="preserve">To assess improvements in mental health and social connectivity among participants receiving the intervention.</w:t>
      </w:r>
    </w:p>
    <w:p>
      <w:pPr>
        <w:numPr>
          <w:ilvl w:val="0"/>
          <w:numId w:val="1001"/>
        </w:numPr>
        <w:pStyle w:val="Compact"/>
      </w:pPr>
      <w:r>
        <w:t xml:space="preserve">To analyze the cost-effectiveness of the Social Worker-led intervention compared to standard care pathways.</w:t>
      </w:r>
    </w:p>
    <w:p>
      <w:pPr>
        <w:numPr>
          <w:ilvl w:val="0"/>
          <w:numId w:val="1001"/>
        </w:numPr>
        <w:pStyle w:val="Compact"/>
      </w:pPr>
      <w:r>
        <w:t xml:space="preserve">To identify specific barriers faced by Social Workers in the Melbourne metropolitan area when implementing these interventions.</w:t>
      </w:r>
    </w:p>
    <w:p>
      <w:pPr>
        <w:pStyle w:val="FirstParagraph"/>
      </w:pPr>
      <w:r>
        <w:t xml:space="preserve">3. Methodology</w:t>
      </w:r>
    </w:p>
    <w:p>
      <w:pPr>
        <w:pStyle w:val="BodyText"/>
      </w:pPr>
      <w:r>
        <w:t xml:space="preserve">This study will utilize a Randomized Controlled Trial (RCT) design. Participants will be recruited from various community health centers and homelessness services across Australia Melbourne, including inner-city suburbs and outer growth corridors.</w:t>
      </w:r>
    </w:p>
    <w:bookmarkStart w:id="21" w:name="participants"/>
    <w:p>
      <w:pPr>
        <w:pStyle w:val="Heading3"/>
      </w:pPr>
      <w:r>
        <w:t xml:space="preserve">3.1 Participants</w:t>
      </w:r>
    </w:p>
    <w:p>
      <w:pPr>
        <w:pStyle w:val="FirstParagraph"/>
      </w:pPr>
      <w:r>
        <w:t xml:space="preserve">The target population consists of adults (18+) experiencing homelessness or housing insecurity in Melbourne. Inclusion criteria include:</w:t>
      </w:r>
    </w:p>
    <w:p>
      <w:pPr>
        <w:numPr>
          <w:ilvl w:val="0"/>
          <w:numId w:val="1002"/>
        </w:numPr>
        <w:pStyle w:val="Compact"/>
      </w:pPr>
      <w:r>
        <w:t xml:space="preserve">Residing in the Greater Melbourne area for at least 6 months.</w:t>
      </w:r>
    </w:p>
    <w:p>
      <w:pPr>
        <w:numPr>
          <w:ilvl w:val="0"/>
          <w:numId w:val="1002"/>
        </w:numPr>
        <w:pStyle w:val="Compact"/>
      </w:pPr>
      <w:r>
        <w:t xml:space="preserve">Currently without stable housing or at imminent risk of homelessness.</w:t>
      </w:r>
    </w:p>
    <w:p>
      <w:pPr>
        <w:numPr>
          <w:ilvl w:val="0"/>
          <w:numId w:val="1002"/>
        </w:numPr>
        <w:pStyle w:val="Compact"/>
      </w:pPr>
      <w:r>
        <w:t xml:space="preserve">Willingness to provide informed consent.</w:t>
      </w:r>
    </w:p>
    <w:p>
      <w:pPr>
        <w:numPr>
          <w:ilvl w:val="0"/>
          <w:numId w:val="1002"/>
        </w:numPr>
        <w:pStyle w:val="Compact"/>
      </w:pPr>
      <w:r>
        <w:t xml:space="preserve">Capacity to engage with a Social Worker.</w:t>
      </w:r>
    </w:p>
    <w:p>
      <w:pPr>
        <w:pStyle w:val="FirstParagraph"/>
      </w:pPr>
      <w:r>
        <w:t xml:space="preserve">Exclusion criteria include severe cognitive impairment that prevents informed consent or participation, unless a legal guardian provides consent.</w:t>
      </w:r>
    </w:p>
    <w:bookmarkEnd w:id="21"/>
    <w:bookmarkStart w:id="22" w:name="intervention-group"/>
    <w:p>
      <w:pPr>
        <w:pStyle w:val="Heading3"/>
      </w:pPr>
      <w:r>
        <w:t xml:space="preserve">3.2 Intervention Group</w:t>
      </w:r>
    </w:p>
    <w:p>
      <w:pPr>
        <w:pStyle w:val="FirstParagraph"/>
      </w:pPr>
      <w:r>
        <w:t xml:space="preserve">Participants in the intervention group will be paired with a qualified Social Worker accredited by the AASW. The Social Worker will provide:</w:t>
      </w:r>
    </w:p>
    <w:p>
      <w:pPr>
        <w:numPr>
          <w:ilvl w:val="0"/>
          <w:numId w:val="1003"/>
        </w:numPr>
        <w:pStyle w:val="Compact"/>
      </w:pPr>
      <w:r>
        <w:t xml:space="preserve">Weekly face-to-face or telehealth sessions for the first 3 months, then bi-weekly.</w:t>
      </w:r>
    </w:p>
    <w:p>
      <w:pPr>
        <w:numPr>
          <w:ilvl w:val="0"/>
          <w:numId w:val="1003"/>
        </w:numPr>
        <w:pStyle w:val="Compact"/>
      </w:pPr>
      <w:r>
        <w:t xml:space="preserve">Assistance with securing permanent housing using the "Housing First" approach.</w:t>
      </w:r>
    </w:p>
    <w:p>
      <w:pPr>
        <w:numPr>
          <w:ilvl w:val="0"/>
          <w:numId w:val="1003"/>
        </w:numPr>
        <w:pStyle w:val="Compact"/>
      </w:pPr>
      <w:r>
        <w:t xml:space="preserve">Coordination with medical, psychological, and employment services.</w:t>
      </w:r>
    </w:p>
    <w:p>
      <w:pPr>
        <w:numPr>
          <w:ilvl w:val="0"/>
          <w:numId w:val="1003"/>
        </w:numPr>
        <w:pStyle w:val="Compact"/>
      </w:pPr>
      <w:r>
        <w:t xml:space="preserve">Advocacy with landlords and government agencies within Victoria.</w:t>
      </w:r>
    </w:p>
    <w:bookmarkEnd w:id="22"/>
    <w:bookmarkStart w:id="23" w:name="control-group"/>
    <w:p>
      <w:pPr>
        <w:pStyle w:val="Heading3"/>
      </w:pPr>
      <w:r>
        <w:t xml:space="preserve">3.3 Control Group</w:t>
      </w:r>
    </w:p>
    <w:p>
      <w:pPr>
        <w:pStyle w:val="FirstParagraph"/>
      </w:pPr>
      <w:r>
        <w:t xml:space="preserve">Participants in the control group will receive standard care as currently provided by local services in Australia Melbourne. This typically includes access to emergency shelters, referral lists for housing, and ad-hoc support, but without the dedicated, intensive case management provided by the assigned Social Worker in the intervention group.</w:t>
      </w:r>
    </w:p>
    <w:bookmarkEnd w:id="23"/>
    <w:p>
      <w:pPr>
        <w:pStyle w:val="BodyText"/>
      </w:pPr>
      <w:r>
        <w:t xml:space="preserve">4. Data Collection and Measures</w:t>
      </w:r>
    </w:p>
    <w:p>
      <w:pPr>
        <w:pStyle w:val="BodyText"/>
      </w:pPr>
      <w:r>
        <w:t xml:space="preserve">Data will be collected at baseline, 3 months, 6 months, and 12 months. Key metrics include:</w:t>
      </w:r>
    </w:p>
    <w:p>
      <w:pPr>
        <w:numPr>
          <w:ilvl w:val="0"/>
          <w:numId w:val="1004"/>
        </w:numPr>
        <w:pStyle w:val="Compact"/>
      </w:pPr>
      <w:r>
        <w:rPr>
          <w:bCs/>
          <w:b/>
        </w:rPr>
        <w:t xml:space="preserve">Housing Stability:</w:t>
      </w:r>
      <w:r>
        <w:t xml:space="preserve"> </w:t>
      </w:r>
      <w:r>
        <w:t xml:space="preserve">Number of nights housed, number of housing moves, and type of housing secured.</w:t>
      </w:r>
    </w:p>
    <w:p>
      <w:pPr>
        <w:numPr>
          <w:ilvl w:val="0"/>
          <w:numId w:val="1004"/>
        </w:numPr>
        <w:pStyle w:val="Compact"/>
      </w:pPr>
      <w:r>
        <w:rPr>
          <w:bCs/>
          <w:b/>
        </w:rPr>
        <w:t xml:space="preserve">Health Outcomes:</w:t>
      </w:r>
      <w:r>
        <w:t xml:space="preserve"> </w:t>
      </w:r>
      <w:r>
        <w:t xml:space="preserve">Scores on standardized mental health scales (e.g., Kessler Psychological Distress Scale).</w:t>
      </w:r>
    </w:p>
    <w:p>
      <w:pPr>
        <w:numPr>
          <w:ilvl w:val="0"/>
          <w:numId w:val="1004"/>
        </w:numPr>
        <w:pStyle w:val="Compact"/>
      </w:pPr>
      <w:r>
        <w:rPr>
          <w:bCs/>
          <w:b/>
        </w:rPr>
        <w:t xml:space="preserve">Social Worker Engagement:</w:t>
      </w:r>
      <w:r>
        <w:t xml:space="preserve"> </w:t>
      </w:r>
      <w:r>
        <w:t xml:space="preserve">Frequency and quality of interactions between the Social Worker and the client.</w:t>
      </w:r>
    </w:p>
    <w:p>
      <w:pPr>
        <w:numPr>
          <w:ilvl w:val="0"/>
          <w:numId w:val="1004"/>
        </w:numPr>
        <w:pStyle w:val="Compact"/>
      </w:pPr>
      <w:r>
        <w:rPr>
          <w:bCs/>
          <w:b/>
        </w:rPr>
        <w:t xml:space="preserve">Service Utilization:</w:t>
      </w:r>
      <w:r>
        <w:t xml:space="preserve"> </w:t>
      </w:r>
      <w:r>
        <w:t xml:space="preserve">Usage of emergency services, hospitals, and crisis centers.</w:t>
      </w:r>
    </w:p>
    <w:p>
      <w:pPr>
        <w:pStyle w:val="FirstParagraph"/>
      </w:pPr>
      <w:r>
        <w:t xml:space="preserve">5. Ethical Considerations</w:t>
      </w:r>
    </w:p>
    <w:p>
      <w:pPr>
        <w:pStyle w:val="BodyText"/>
      </w:pPr>
      <w:r>
        <w:t xml:space="preserve">Given the vulnerable nature of the participants in Australia Melbourne, ethical rigor is paramount. This protocol has been designed to minimize harm and maximize benefit.</w:t>
      </w:r>
    </w:p>
    <w:p>
      <w:pPr>
        <w:numPr>
          <w:ilvl w:val="0"/>
          <w:numId w:val="1005"/>
        </w:numPr>
        <w:pStyle w:val="Compact"/>
      </w:pPr>
      <w:r>
        <w:rPr>
          <w:bCs/>
          <w:b/>
        </w:rPr>
        <w:t xml:space="preserve">Informed Consent:</w:t>
      </w:r>
      <w:r>
        <w:t xml:space="preserve"> </w:t>
      </w:r>
      <w:r>
        <w:t xml:space="preserve">All participants will receive clear, accessible information about the study. Consent will be obtained voluntarily without coercion.</w:t>
      </w:r>
    </w:p>
    <w:p>
      <w:pPr>
        <w:numPr>
          <w:ilvl w:val="0"/>
          <w:numId w:val="1005"/>
        </w:numPr>
        <w:pStyle w:val="Compact"/>
      </w:pPr>
      <w:r>
        <w:rPr>
          <w:bCs/>
          <w:b/>
        </w:rPr>
        <w:t xml:space="preserve">Confidentiality:</w:t>
      </w:r>
      <w:r>
        <w:t xml:space="preserve"> </w:t>
      </w:r>
      <w:r>
        <w:t xml:space="preserve">All data will be anonymized and stored securely in compliance with the Privacy Act 1988 (Cth) and Victorian Health Records Act 2001.</w:t>
      </w:r>
    </w:p>
    <w:p>
      <w:pPr>
        <w:numPr>
          <w:ilvl w:val="0"/>
          <w:numId w:val="1005"/>
        </w:numPr>
        <w:pStyle w:val="Compact"/>
      </w:pPr>
      <w:r>
        <w:rPr>
          <w:bCs/>
          <w:b/>
        </w:rPr>
        <w:t xml:space="preserve">Right to Withdraw:</w:t>
      </w:r>
      <w:r>
        <w:t xml:space="preserve"> </w:t>
      </w:r>
      <w:r>
        <w:t xml:space="preserve">Participants may withdraw from the study at any time without affecting their access to essential services.</w:t>
      </w:r>
    </w:p>
    <w:p>
      <w:pPr>
        <w:numPr>
          <w:ilvl w:val="0"/>
          <w:numId w:val="1005"/>
        </w:numPr>
        <w:pStyle w:val="Compact"/>
      </w:pPr>
      <w:r>
        <w:rPr>
          <w:bCs/>
          <w:b/>
        </w:rPr>
        <w:t xml:space="preserve">Social Worker Ethics:</w:t>
      </w:r>
      <w:r>
        <w:t xml:space="preserve"> </w:t>
      </w:r>
      <w:r>
        <w:t xml:space="preserve">All Social Workers involved must adhere to the AASW Code of Ethics, ensuring professional boundaries and cultural safety, particularly for Aboriginal and Torres Strait Islander participants.</w:t>
      </w:r>
    </w:p>
    <w:p>
      <w:pPr>
        <w:pStyle w:val="FirstParagraph"/>
      </w:pPr>
      <w:r>
        <w:t xml:space="preserve">6. Risk Management</w:t>
      </w:r>
    </w:p>
    <w:p>
      <w:pPr>
        <w:pStyle w:val="BodyText"/>
      </w:pPr>
      <w:r>
        <w:t xml:space="preserve">Potential risks include emotional distress during interviews or the possibility of housing instability during the transition period. Mitigation strategies include:</w:t>
      </w:r>
    </w:p>
    <w:p>
      <w:pPr>
        <w:numPr>
          <w:ilvl w:val="0"/>
          <w:numId w:val="1006"/>
        </w:numPr>
        <w:pStyle w:val="Compact"/>
      </w:pPr>
      <w:r>
        <w:t xml:space="preserve">Immediate referral to crisis support if a participant experiences acute distress.</w:t>
      </w:r>
    </w:p>
    <w:p>
      <w:pPr>
        <w:numPr>
          <w:ilvl w:val="0"/>
          <w:numId w:val="1006"/>
        </w:numPr>
        <w:pStyle w:val="Compact"/>
      </w:pPr>
      <w:r>
        <w:t xml:space="preserve">Ensuring that the Social Worker has a robust network of emergency housing resources in Melbourne.</w:t>
      </w:r>
    </w:p>
    <w:p>
      <w:pPr>
        <w:numPr>
          <w:ilvl w:val="0"/>
          <w:numId w:val="1006"/>
        </w:numPr>
        <w:pStyle w:val="Compact"/>
      </w:pPr>
      <w:r>
        <w:t xml:space="preserve">Regular supervision for Social Workers to prevent burnout and ensure high-quality care.</w:t>
      </w:r>
    </w:p>
    <w:p>
      <w:pPr>
        <w:pStyle w:val="FirstParagraph"/>
      </w:pPr>
      <w:r>
        <w:t xml:space="preserve">7. Timeline</w:t>
      </w:r>
    </w:p>
    <w:p>
      <w:pPr>
        <w:numPr>
          <w:ilvl w:val="0"/>
          <w:numId w:val="1007"/>
        </w:numPr>
        <w:pStyle w:val="Compact"/>
      </w:pPr>
      <w:r>
        <w:rPr>
          <w:bCs/>
          <w:b/>
        </w:rPr>
        <w:t xml:space="preserve">Months 1-2:</w:t>
      </w:r>
      <w:r>
        <w:t xml:space="preserve"> </w:t>
      </w:r>
      <w:r>
        <w:t xml:space="preserve">Recruitment and training of Social Workers.</w:t>
      </w:r>
    </w:p>
    <w:p>
      <w:pPr>
        <w:numPr>
          <w:ilvl w:val="0"/>
          <w:numId w:val="1007"/>
        </w:numPr>
        <w:pStyle w:val="Compact"/>
      </w:pPr>
      <w:r>
        <w:rPr>
          <w:bCs/>
          <w:b/>
        </w:rPr>
        <w:t xml:space="preserve">Months 3-15:</w:t>
      </w:r>
      <w:r>
        <w:t xml:space="preserve"> </w:t>
      </w:r>
      <w:r>
        <w:t xml:space="preserve">Implementation of interventions and data collection.</w:t>
      </w:r>
    </w:p>
    <w:p>
      <w:pPr>
        <w:numPr>
          <w:ilvl w:val="0"/>
          <w:numId w:val="1007"/>
        </w:numPr>
        <w:pStyle w:val="Compact"/>
      </w:pPr>
      <w:r>
        <w:rPr>
          <w:bCs/>
          <w:b/>
        </w:rPr>
        <w:t xml:space="preserve">Months 16-18:</w:t>
      </w:r>
      <w:r>
        <w:t xml:space="preserve"> </w:t>
      </w:r>
      <w:r>
        <w:t xml:space="preserve">Data analysis and reporting.</w:t>
      </w:r>
    </w:p>
    <w:p>
      <w:pPr>
        <w:pStyle w:val="FirstParagraph"/>
      </w:pPr>
      <w:r>
        <w:t xml:space="preserve">8. Conclusion</w:t>
      </w:r>
    </w:p>
    <w:p>
      <w:pPr>
        <w:pStyle w:val="BodyText"/>
      </w:pPr>
      <w:r>
        <w:t xml:space="preserve">This Experiment Protocol provides a structured framework for evaluating the critical role of the Social Worker in addressing homelessness in Australia Melbourne. By generating robust evidence, this study aims to inform policy and practice, ultimately leading to more effective support systems for vulnerable individuals in the community.</w:t>
      </w:r>
    </w:p>
    <w:p>
      <w:pPr>
        <w:pStyle w:val="BodyText"/>
      </w:pPr>
      <w:r>
        <w:rPr>
          <w:bCs/>
          <w:b/>
        </w:rPr>
        <w:t xml:space="preserve">Prepared by:</w:t>
      </w:r>
      <w:r>
        <w:t xml:space="preserve"> </w:t>
      </w:r>
      <w:r>
        <w:t xml:space="preserve">Research Ethics Committee, Melbourne Social Innovation Hub</w:t>
      </w:r>
      <w:r>
        <w:br/>
      </w:r>
      <w:r>
        <w:rPr>
          <w:bCs/>
          <w:b/>
        </w:rPr>
        <w:t xml:space="preserve">Contact:</w:t>
      </w:r>
      <w:r>
        <w:t xml:space="preserve"> </w:t>
      </w:r>
      <w:r>
        <w:t xml:space="preserve">research@melbournesocialhub.org.au</w:t>
      </w:r>
      <w:r>
        <w:br/>
      </w:r>
      <w:r>
        <w:rPr>
          <w:bCs/>
          <w:b/>
        </w:rPr>
        <w:t xml:space="preserve">Disclaimer:</w:t>
      </w:r>
      <w:r>
        <w:t xml:space="preserve"> </w:t>
      </w:r>
      <w:r>
        <w:t xml:space="preserve">This document is a template for experimental protocol design and must be reviewed by relevant institutional review boards before implementation.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Social Worker Intervention in Australia Melbourne</dc:title>
  <dc:creator/>
  <dc:language>en</dc:language>
  <cp:keywords/>
  <dcterms:created xsi:type="dcterms:W3CDTF">2026-10-10T03:58:29Z</dcterms:created>
  <dcterms:modified xsi:type="dcterms:W3CDTF">2026-10-10T03:58:29Z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