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Brussels</w:t>
      </w:r>
    </w:p>
    <w:bookmarkStart w:id="20" w:name="Xd5053d6810cbd380720676eb328e8ed35bbaeac"/>
    <w:p>
      <w:pPr>
        <w:pStyle w:val="Heading1"/>
      </w:pPr>
      <w:r>
        <w:t xml:space="preserve">Experiment Protocol: Enhanced Social Worker Intervention Model</w:t>
      </w:r>
    </w:p>
    <w:p>
      <w:pPr>
        <w:pStyle w:val="FirstParagraph"/>
      </w:pPr>
      <w:r>
        <w:rPr>
          <w:bCs/>
          <w:b/>
        </w:rPr>
        <w:t xml:space="preserve">Location:</w:t>
      </w:r>
      <w:r>
        <w:t xml:space="preserve"> </w:t>
      </w:r>
      <w:r>
        <w:t xml:space="preserve">Brussels-Capital Region, Belgium</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Brussels Institute for Social Research</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study designed to evaluate the efficacy of a new, technology-assisted intervention model for Social Workers operating within the Brussels-Capital Region. Brussels is a unique socio-economic landscape characterized by high linguistic diversity, significant socio-economic inequality, and a complex multi-level governance structure involving federal, regional, and municipal authorities.</w:t>
      </w:r>
    </w:p>
    <w:p>
      <w:pPr>
        <w:pStyle w:val="BodyText"/>
      </w:pPr>
      <w:r>
        <w:t xml:space="preserve">Social Workers in Belgium Brussels face increasing demands due to urbanization, migration flows, and housing crises. Current standard operating procedures often result in high caseloads and administrative burdens, potentially reducing the quality of direct client interaction. This experiment aims to test whether integrating a centralized digital triage system and peer-support modules can improve client outcomes and reduce professional burnout among Social Workers.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impact of the "Brussels Integrated Support Framework" (BISF) on the efficiency of Social Worker case management.</w:t>
      </w:r>
    </w:p>
    <w:p>
      <w:pPr>
        <w:numPr>
          <w:ilvl w:val="0"/>
          <w:numId w:val="1001"/>
        </w:numPr>
        <w:pStyle w:val="Compact"/>
      </w:pPr>
      <w:r>
        <w:t xml:space="preserve">To assess changes in client satisfaction and stability metrics (housing, employment, mental health) in Brussels neighborhoods.</w:t>
      </w:r>
    </w:p>
    <w:p>
      <w:pPr>
        <w:numPr>
          <w:ilvl w:val="0"/>
          <w:numId w:val="1001"/>
        </w:numPr>
        <w:pStyle w:val="Compact"/>
      </w:pPr>
      <w:r>
        <w:t xml:space="preserve">To evaluate the effect of the intervention on the psychological well-being and retention rates of Social Workers in the region.</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utilizes a quasi-experimental design with a control group. The experiment will run for a period of 12 months. Two comparable municipalities within the Brussels-Capital Region will be selected: one as the intervention site and one as the control site. Selection criteria include similar demographic profiles regarding income levels, population density, and linguistic composition (French/Dutch/English speaking).</w:t>
      </w:r>
    </w:p>
    <w:bookmarkEnd w:id="23"/>
    <w:bookmarkStart w:id="24" w:name="participants"/>
    <w:p>
      <w:pPr>
        <w:pStyle w:val="Heading3"/>
      </w:pPr>
      <w:r>
        <w:t xml:space="preserve">3.2 Participants</w:t>
      </w:r>
    </w:p>
    <w:p>
      <w:pPr>
        <w:pStyle w:val="FirstParagraph"/>
      </w:pPr>
      <w:r>
        <w:t xml:space="preserve">The participants include:</w:t>
      </w:r>
    </w:p>
    <w:p>
      <w:pPr>
        <w:numPr>
          <w:ilvl w:val="0"/>
          <w:numId w:val="1002"/>
        </w:numPr>
        <w:pStyle w:val="Compact"/>
      </w:pPr>
      <w:r>
        <w:rPr>
          <w:bCs/>
          <w:b/>
        </w:rPr>
        <w:t xml:space="preserve">Social Workers:</w:t>
      </w:r>
      <w:r>
        <w:t xml:space="preserve"> </w:t>
      </w:r>
      <w:r>
        <w:t xml:space="preserve">Licensed professionals employed by the Public Centre for Social Welfare (CPAS/OCMW) in the selected municipalities. Inclusion criteria require a minimum of one year of experience in Brussels.</w:t>
      </w:r>
    </w:p>
    <w:p>
      <w:pPr>
        <w:numPr>
          <w:ilvl w:val="0"/>
          <w:numId w:val="1002"/>
        </w:numPr>
        <w:pStyle w:val="Compact"/>
      </w:pPr>
      <w:r>
        <w:rPr>
          <w:bCs/>
          <w:b/>
        </w:rPr>
        <w:t xml:space="preserve">Clients:</w:t>
      </w:r>
      <w:r>
        <w:t xml:space="preserve"> </w:t>
      </w:r>
      <w:r>
        <w:t xml:space="preserve">Individuals currently receiving social assistance, aged 18-65, residing in the intervention or control zones.</w:t>
      </w:r>
    </w:p>
    <w:bookmarkEnd w:id="24"/>
    <w:bookmarkStart w:id="25" w:name="intervention-protocol"/>
    <w:p>
      <w:pPr>
        <w:pStyle w:val="Heading3"/>
      </w:pPr>
      <w:r>
        <w:t xml:space="preserve">3.3 Intervention Protocol</w:t>
      </w:r>
    </w:p>
    <w:p>
      <w:pPr>
        <w:pStyle w:val="FirstParagraph"/>
      </w:pPr>
      <w:r>
        <w:t xml:space="preserve">In the intervention municipality, Social Workers will implement the BISF. This involves:</w:t>
      </w:r>
    </w:p>
    <w:p>
      <w:pPr>
        <w:numPr>
          <w:ilvl w:val="0"/>
          <w:numId w:val="1003"/>
        </w:numPr>
        <w:pStyle w:val="Compact"/>
      </w:pPr>
      <w:r>
        <w:rPr>
          <w:bCs/>
          <w:b/>
        </w:rPr>
        <w:t xml:space="preserve">Digital Triage:</w:t>
      </w:r>
      <w:r>
        <w:t xml:space="preserve"> </w:t>
      </w:r>
      <w:r>
        <w:t xml:space="preserve">Use of an AI-assisted tool to prioritize cases based on urgency and risk factors, reducing administrative sorting time.</w:t>
      </w:r>
    </w:p>
    <w:p>
      <w:pPr>
        <w:numPr>
          <w:ilvl w:val="0"/>
          <w:numId w:val="1003"/>
        </w:numPr>
        <w:pStyle w:val="Compact"/>
      </w:pPr>
      <w:r>
        <w:rPr>
          <w:bCs/>
          <w:b/>
        </w:rPr>
        <w:t xml:space="preserve">Standardized Pathways:</w:t>
      </w:r>
      <w:r>
        <w:t xml:space="preserve"> </w:t>
      </w:r>
      <w:r>
        <w:t xml:space="preserve">Implementation of evidence-based care pathways specific to Brussels' legal and social context.</w:t>
      </w:r>
    </w:p>
    <w:p>
      <w:pPr>
        <w:numPr>
          <w:ilvl w:val="0"/>
          <w:numId w:val="1003"/>
        </w:numPr>
        <w:pStyle w:val="Compact"/>
      </w:pPr>
      <w:r>
        <w:rPr>
          <w:bCs/>
          <w:b/>
        </w:rPr>
        <w:t xml:space="preserve">Weekly Peer Rounds:</w:t>
      </w:r>
      <w:r>
        <w:t xml:space="preserve"> </w:t>
      </w:r>
      <w:r>
        <w:t xml:space="preserve">Mandatory 90-minute multidisciplinary meetings facilitated by senior Social Workers to discuss complex cases.</w:t>
      </w:r>
    </w:p>
    <w:p>
      <w:pPr>
        <w:pStyle w:val="FirstParagraph"/>
      </w:pPr>
      <w:r>
        <w:t xml:space="preserve">The control municipality will continue with standard CPAS/OCMW procedures without the digital triage tool or mandatory peer rounds.</w:t>
      </w:r>
    </w:p>
    <w:bookmarkEnd w:id="25"/>
    <w:bookmarkEnd w:id="26"/>
    <w:bookmarkStart w:id="29" w:name="data-collection-and-metrics"/>
    <w:p>
      <w:pPr>
        <w:pStyle w:val="Heading2"/>
      </w:pPr>
      <w:r>
        <w:t xml:space="preserve">4. Data Collection and Metrics</w:t>
      </w:r>
    </w:p>
    <w:p>
      <w:pPr>
        <w:pStyle w:val="FirstParagraph"/>
      </w:pPr>
      <w:r>
        <w:t xml:space="preserve">Data will be collected at three intervals: Baseline (Month 0), Mid-term (Month 6), and End-line (Month 12).</w:t>
      </w:r>
    </w:p>
    <w:bookmarkStart w:id="27" w:name="quantitative-metrics"/>
    <w:p>
      <w:pPr>
        <w:pStyle w:val="Heading3"/>
      </w:pPr>
      <w:r>
        <w:t xml:space="preserve">4.1 Quantitative Metrics</w:t>
      </w:r>
    </w:p>
    <w:p>
      <w:pPr>
        <w:numPr>
          <w:ilvl w:val="0"/>
          <w:numId w:val="1004"/>
        </w:numPr>
        <w:pStyle w:val="Compact"/>
      </w:pPr>
      <w:r>
        <w:rPr>
          <w:bCs/>
          <w:b/>
        </w:rPr>
        <w:t xml:space="preserve">Case Load Efficiency:</w:t>
      </w:r>
      <w:r>
        <w:t xml:space="preserve"> </w:t>
      </w:r>
      <w:r>
        <w:t xml:space="preserve">Average time spent per client file and number of administrative hours per week.</w:t>
      </w:r>
    </w:p>
    <w:p>
      <w:pPr>
        <w:numPr>
          <w:ilvl w:val="0"/>
          <w:numId w:val="1004"/>
        </w:numPr>
        <w:pStyle w:val="Compact"/>
      </w:pPr>
      <w:r>
        <w:rPr>
          <w:bCs/>
          <w:b/>
        </w:rPr>
        <w:t xml:space="preserve">Client Outcomes:</w:t>
      </w:r>
      <w:r>
        <w:t xml:space="preserve"> </w:t>
      </w:r>
      <w:r>
        <w:t xml:space="preserve">Rates of successful housing placement, employment integration, and reduction in emergency service usage.</w:t>
      </w:r>
    </w:p>
    <w:p>
      <w:pPr>
        <w:numPr>
          <w:ilvl w:val="0"/>
          <w:numId w:val="1004"/>
        </w:numPr>
        <w:pStyle w:val="Compact"/>
      </w:pPr>
      <w:r>
        <w:rPr>
          <w:bCs/>
          <w:b/>
        </w:rPr>
        <w:t xml:space="preserve">Staff Metrics:</w:t>
      </w:r>
      <w:r>
        <w:t xml:space="preserve"> </w:t>
      </w:r>
      <w:r>
        <w:t xml:space="preserve">Absenteeism rates and turnover intentions among Social Workers.</w:t>
      </w:r>
    </w:p>
    <w:bookmarkEnd w:id="27"/>
    <w:bookmarkStart w:id="28" w:name="qualitative-metrics"/>
    <w:p>
      <w:pPr>
        <w:pStyle w:val="Heading3"/>
      </w:pPr>
      <w:r>
        <w:t xml:space="preserve">4.2 Qualitative Metrics</w:t>
      </w:r>
    </w:p>
    <w:p>
      <w:pPr>
        <w:numPr>
          <w:ilvl w:val="0"/>
          <w:numId w:val="1005"/>
        </w:numPr>
        <w:pStyle w:val="Compact"/>
      </w:pPr>
      <w:r>
        <w:rPr>
          <w:bCs/>
          <w:b/>
        </w:rPr>
        <w:t xml:space="preserve">Interviews:</w:t>
      </w:r>
      <w:r>
        <w:t xml:space="preserve"> </w:t>
      </w:r>
      <w:r>
        <w:t xml:space="preserve">Semi-structured interviews with a sample of Social Workers to assess perceived workload and job satisfaction.</w:t>
      </w:r>
    </w:p>
    <w:p>
      <w:pPr>
        <w:numPr>
          <w:ilvl w:val="0"/>
          <w:numId w:val="1005"/>
        </w:numPr>
        <w:pStyle w:val="Compact"/>
      </w:pPr>
      <w:r>
        <w:rPr>
          <w:bCs/>
          <w:b/>
        </w:rPr>
        <w:t xml:space="preserve">Client Feedback:</w:t>
      </w:r>
      <w:r>
        <w:t xml:space="preserve"> </w:t>
      </w:r>
      <w:r>
        <w:t xml:space="preserve">Focus groups with clients to evaluate the perceived quality of support and accessibility of services in Brussels.</w:t>
      </w:r>
    </w:p>
    <w:bookmarkEnd w:id="28"/>
    <w:bookmarkEnd w:id="29"/>
    <w:bookmarkStart w:id="33" w:name="Xf2ff99b0eef6fcbe117f837fe1f088f459e1321"/>
    <w:p>
      <w:pPr>
        <w:pStyle w:val="Heading2"/>
      </w:pPr>
      <w:r>
        <w:t xml:space="preserve">5. Ethical Considerations and Legal Compliance</w:t>
      </w:r>
    </w:p>
    <w:p>
      <w:pPr>
        <w:pStyle w:val="FirstParagraph"/>
      </w:pPr>
      <w:r>
        <w:t xml:space="preserve">Given the sensitive nature of social work in Belgium Brussels, strict adherence to ethical guidelines is paramount.</w:t>
      </w:r>
    </w:p>
    <w:bookmarkStart w:id="30" w:name="privacy-and-gdpr"/>
    <w:p>
      <w:pPr>
        <w:pStyle w:val="Heading3"/>
      </w:pPr>
      <w:r>
        <w:t xml:space="preserve">5.1 Privacy and GDPR</w:t>
      </w:r>
    </w:p>
    <w:p>
      <w:pPr>
        <w:pStyle w:val="FirstParagraph"/>
      </w:pPr>
      <w:r>
        <w:t xml:space="preserve">All data collection will comply with the General Data Protection Regulation (GDPR) and Belgian privacy laws. Client data will be anonymized using unique identifiers. No personally identifiable information will be shared with the research team without explicit, informed consent.</w:t>
      </w:r>
    </w:p>
    <w:bookmarkEnd w:id="30"/>
    <w:bookmarkStart w:id="31" w:name="informed-consent"/>
    <w:p>
      <w:pPr>
        <w:pStyle w:val="Heading3"/>
      </w:pPr>
      <w:r>
        <w:t xml:space="preserve">5.2 Informed Consent</w:t>
      </w:r>
    </w:p>
    <w:p>
      <w:pPr>
        <w:pStyle w:val="FirstParagraph"/>
      </w:pPr>
      <w:r>
        <w:t xml:space="preserve">All participating Social Workers and clients must provide written informed consent. The consent forms will be available in French, Dutch, and English to accommodate the linguistic diversity of Brussels. Participation is voluntary, and refusal will not affect the level of social assistance received.</w:t>
      </w:r>
    </w:p>
    <w:bookmarkEnd w:id="31"/>
    <w:bookmarkStart w:id="32" w:name="ethical-review"/>
    <w:p>
      <w:pPr>
        <w:pStyle w:val="Heading3"/>
      </w:pPr>
      <w:r>
        <w:t xml:space="preserve">5.3 Ethical Review</w:t>
      </w:r>
    </w:p>
    <w:p>
      <w:pPr>
        <w:pStyle w:val="FirstParagraph"/>
      </w:pPr>
      <w:r>
        <w:t xml:space="preserve">This protocol has been submitted to the Ethics Committee of the Brussels University Hospital (CHU) for review and approval prior to commencement.</w:t>
      </w:r>
    </w:p>
    <w:bookmarkEnd w:id="32"/>
    <w:bookmarkEnd w:id="33"/>
    <w:bookmarkStart w:id="34" w:name="risk-management"/>
    <w:p>
      <w:pPr>
        <w:pStyle w:val="Heading2"/>
      </w:pPr>
      <w:r>
        <w:t xml:space="preserve">6. Risk Management</w:t>
      </w:r>
    </w:p>
    <w:p>
      <w:pPr>
        <w:pStyle w:val="FirstParagraph"/>
      </w:pPr>
      <w:r>
        <w:t xml:space="preserve">Potential risks include:</w:t>
      </w:r>
    </w:p>
    <w:p>
      <w:pPr>
        <w:numPr>
          <w:ilvl w:val="0"/>
          <w:numId w:val="1006"/>
        </w:numPr>
        <w:pStyle w:val="Compact"/>
      </w:pPr>
      <w:r>
        <w:rPr>
          <w:bCs/>
          <w:b/>
        </w:rPr>
        <w:t xml:space="preserve">Technological Failure:</w:t>
      </w:r>
      <w:r>
        <w:t xml:space="preserve"> </w:t>
      </w:r>
      <w:r>
        <w:t xml:space="preserve">If the digital triage system fails, a manual backup protocol will be immediately activated.</w:t>
      </w:r>
    </w:p>
    <w:p>
      <w:pPr>
        <w:numPr>
          <w:ilvl w:val="0"/>
          <w:numId w:val="1006"/>
        </w:numPr>
        <w:pStyle w:val="Compact"/>
      </w:pPr>
      <w:r>
        <w:rPr>
          <w:bCs/>
          <w:b/>
        </w:rPr>
        <w:t xml:space="preserve">Client Distress:</w:t>
      </w:r>
      <w:r>
        <w:t xml:space="preserve"> </w:t>
      </w:r>
      <w:r>
        <w:t xml:space="preserve">Social Workers are trained to refer clients to psychological support if the evaluation process causes distress.</w:t>
      </w:r>
    </w:p>
    <w:p>
      <w:pPr>
        <w:numPr>
          <w:ilvl w:val="0"/>
          <w:numId w:val="1006"/>
        </w:numPr>
        <w:pStyle w:val="Compact"/>
      </w:pPr>
      <w:r>
        <w:rPr>
          <w:bCs/>
          <w:b/>
        </w:rPr>
        <w:t xml:space="preserve">Contamination:</w:t>
      </w:r>
      <w:r>
        <w:t xml:space="preserve"> </w:t>
      </w:r>
      <w:r>
        <w:t xml:space="preserve">Efforts will be made to prevent the control group from adopting intervention strategies, though some information sharing is inevitable in a small region like Brussels.</w:t>
      </w:r>
    </w:p>
    <w:bookmarkEnd w:id="34"/>
    <w:bookmarkStart w:id="35" w:name="timeline"/>
    <w:p>
      <w:pPr>
        <w:pStyle w:val="Heading2"/>
      </w:pPr>
      <w:r>
        <w:t xml:space="preserve">7. Timeline</w:t>
      </w:r>
    </w:p>
    <w:p>
      <w:pPr>
        <w:numPr>
          <w:ilvl w:val="0"/>
          <w:numId w:val="1007"/>
        </w:numPr>
        <w:pStyle w:val="Compact"/>
      </w:pPr>
      <w:r>
        <w:rPr>
          <w:bCs/>
          <w:b/>
        </w:rPr>
        <w:t xml:space="preserve">Months 1-2:</w:t>
      </w:r>
      <w:r>
        <w:t xml:space="preserve"> </w:t>
      </w:r>
      <w:r>
        <w:t xml:space="preserve">Recruitment of Social Workers and client enrollment; Baseline data collection.</w:t>
      </w:r>
    </w:p>
    <w:p>
      <w:pPr>
        <w:numPr>
          <w:ilvl w:val="0"/>
          <w:numId w:val="1007"/>
        </w:numPr>
        <w:pStyle w:val="Compact"/>
      </w:pPr>
      <w:r>
        <w:rPr>
          <w:bCs/>
          <w:b/>
        </w:rPr>
        <w:t xml:space="preserve">Months 3-8:</w:t>
      </w:r>
      <w:r>
        <w:t xml:space="preserve"> </w:t>
      </w:r>
      <w:r>
        <w:t xml:space="preserve">Implementation of the intervention; Mid-term data collection.</w:t>
      </w:r>
    </w:p>
    <w:p>
      <w:pPr>
        <w:numPr>
          <w:ilvl w:val="0"/>
          <w:numId w:val="1007"/>
        </w:numPr>
        <w:pStyle w:val="Compact"/>
      </w:pPr>
      <w:r>
        <w:rPr>
          <w:bCs/>
          <w:b/>
        </w:rPr>
        <w:t xml:space="preserve">Months 9-11:</w:t>
      </w:r>
      <w:r>
        <w:t xml:space="preserve"> </w:t>
      </w:r>
      <w:r>
        <w:t xml:space="preserve">Continued intervention; End-line data collection.</w:t>
      </w:r>
    </w:p>
    <w:p>
      <w:pPr>
        <w:numPr>
          <w:ilvl w:val="0"/>
          <w:numId w:val="1007"/>
        </w:numPr>
        <w:pStyle w:val="Compact"/>
      </w:pPr>
      <w:r>
        <w:rPr>
          <w:bCs/>
          <w:b/>
        </w:rPr>
        <w:t xml:space="preserve">Month 12:</w:t>
      </w:r>
      <w:r>
        <w:t xml:space="preserve"> </w:t>
      </w:r>
      <w:r>
        <w:t xml:space="preserve">Data analysis and reporting.</w:t>
      </w:r>
    </w:p>
    <w:bookmarkEnd w:id="35"/>
    <w:bookmarkStart w:id="36" w:name="conclusion"/>
    <w:p>
      <w:pPr>
        <w:pStyle w:val="Heading2"/>
      </w:pPr>
      <w:r>
        <w:t xml:space="preserve">8. Conclusion</w:t>
      </w:r>
    </w:p>
    <w:p>
      <w:pPr>
        <w:pStyle w:val="FirstParagraph"/>
      </w:pPr>
      <w:r>
        <w:t xml:space="preserve">This Experiment Protocol provides a structured approach to enhancing the role of the Social Worker in Belgium Brussels. By rigorously testing new support mechanisms, we aim to contribute to a more resilient social safety net that better serves the diverse population of the capital region. The findings will be disseminated to policymakers at the Brussels Regional Government and relevant federal agencies to inform future social work legislation and practice standards.</w:t>
      </w:r>
    </w:p>
    <w:bookmarkEnd w:id="36"/>
    <w:p>
      <w:pPr>
        <w:pStyle w:val="BodyText"/>
      </w:pPr>
      <w:r>
        <w:rPr>
          <w:bCs/>
          <w:b/>
        </w:rPr>
        <w:t xml:space="preserve">Disclaimer:</w:t>
      </w:r>
      <w:r>
        <w:t xml:space="preserve"> </w:t>
      </w:r>
      <w:r>
        <w:t xml:space="preserve">This document is a template for an experiment protocol. Actual implementation requires approval from relevant ethical boards, legal counsel, and administrative authorities in the Brussels-Capital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Brussels</dc:title>
  <dc:creator/>
  <dc:language>en</dc:language>
  <cp:keywords/>
  <dcterms:created xsi:type="dcterms:W3CDTF">2026-10-10T01:45:23Z</dcterms:created>
  <dcterms:modified xsi:type="dcterms:W3CDTF">2026-10-10T01:45:23Z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