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Rio</w:t>
      </w:r>
      <w:r>
        <w:t xml:space="preserve"> </w:t>
      </w:r>
      <w:r>
        <w:t xml:space="preserve">de</w:t>
      </w:r>
      <w:r>
        <w:t xml:space="preserve"> </w:t>
      </w:r>
      <w:r>
        <w:t xml:space="preserve">Janeiro</w:t>
      </w:r>
    </w:p>
    <w:bookmarkStart w:id="20" w:name="Xa539e940bc9adb8a31d55e383909366f6e2834d"/>
    <w:p>
      <w:pPr>
        <w:pStyle w:val="Heading1"/>
      </w:pPr>
      <w:r>
        <w:t xml:space="preserve">Experiment Protocol: Community-Based Social Worker Intervention Model</w:t>
      </w:r>
    </w:p>
    <w:p>
      <w:pPr>
        <w:pStyle w:val="FirstParagraph"/>
      </w:pPr>
      <w:r>
        <w:rPr>
          <w:bCs/>
          <w:b/>
        </w:rPr>
        <w:t xml:space="preserve">Location:</w:t>
      </w:r>
      <w:r>
        <w:t xml:space="preserve"> </w:t>
      </w:r>
      <w:r>
        <w:t xml:space="preserve">Rio de Janeiro, Brazil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 novel, community-integrated intervention model designed for Social Workers operating within the complex socio-economic landscape of Rio de Janeiro, Brazil. The city presents unique challenges, including significant income inequality, diverse community structures ranging from high-density urban centers to vulnerable favela communities, and specific cultural dynamics that influence social service delivery.</w:t>
      </w:r>
    </w:p>
    <w:p>
      <w:pPr>
        <w:pStyle w:val="BodyText"/>
      </w:pPr>
      <w:r>
        <w:t xml:space="preserve">The primary objective of this experiment is to assess the efficacy of a "Hyper-Local Trust-Based" approach compared to traditional bureaucratic service delivery methods. In Rio de Janeiro, the role of the Social Worker is often strained by high caseloads and systemic barriers. This protocol seeks to determine if empowering Social Workers with localized decision-making authority and community partnership tools can improve outcomes in mental health support, family preservation, and access to public resources.</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To measure the impact of the Hyper-Local Trust-Based model on client satisfaction and engagement rates among residents of selected Rio de Janeiro neighborhoods.</w:t>
      </w:r>
    </w:p>
    <w:p>
      <w:pPr>
        <w:numPr>
          <w:ilvl w:val="0"/>
          <w:numId w:val="1001"/>
        </w:numPr>
        <w:pStyle w:val="Compact"/>
      </w:pPr>
      <w:r>
        <w:t xml:space="preserve">To evaluate the reduction in burnout and turnover rates among participating Social Workers.</w:t>
      </w:r>
    </w:p>
    <w:p>
      <w:pPr>
        <w:numPr>
          <w:ilvl w:val="0"/>
          <w:numId w:val="1001"/>
        </w:numPr>
        <w:pStyle w:val="Compact"/>
      </w:pPr>
      <w:r>
        <w:t xml:space="preserve">To analyze the efficiency of resource allocation when Social Workers are granted autonomy to collaborate with local community leaders and NGOs.</w:t>
      </w:r>
    </w:p>
    <w:p>
      <w:pPr>
        <w:numPr>
          <w:ilvl w:val="0"/>
          <w:numId w:val="1001"/>
        </w:numPr>
        <w:pStyle w:val="Compact"/>
      </w:pPr>
      <w:r>
        <w:t xml:space="preserve">To identify best practices for integrating digital tools with face-to-face interventions in areas with varying levels of infrastructure.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with a control group. The experiment will run for a period of 12 months. Two distinct regions within Rio de Janeiro will be selected to ensure a representative sample of the city's diversity:</w:t>
      </w:r>
    </w:p>
    <w:p>
      <w:pPr>
        <w:numPr>
          <w:ilvl w:val="0"/>
          <w:numId w:val="1002"/>
        </w:numPr>
        <w:pStyle w:val="Compact"/>
      </w:pPr>
      <w:r>
        <w:rPr>
          <w:bCs/>
          <w:b/>
        </w:rPr>
        <w:t xml:space="preserve">Intervention Zone:</w:t>
      </w:r>
      <w:r>
        <w:t xml:space="preserve"> </w:t>
      </w:r>
      <w:r>
        <w:t xml:space="preserve">A selected area in the North Zone (Zona Norte), characterized by high population density and reliance on public social services.</w:t>
      </w:r>
    </w:p>
    <w:p>
      <w:pPr>
        <w:numPr>
          <w:ilvl w:val="0"/>
          <w:numId w:val="1002"/>
        </w:numPr>
        <w:pStyle w:val="Compact"/>
      </w:pPr>
      <w:r>
        <w:rPr>
          <w:bCs/>
          <w:b/>
        </w:rPr>
        <w:t xml:space="preserve">Control Zone:</w:t>
      </w:r>
      <w:r>
        <w:t xml:space="preserve"> </w:t>
      </w:r>
      <w:r>
        <w:t xml:space="preserve">A demographically similar area in the West Zone (Zona Oeste), where traditional service protocols will remain unchanged.</w:t>
      </w:r>
    </w:p>
    <w:bookmarkEnd w:id="23"/>
    <w:bookmarkStart w:id="24" w:name="participants"/>
    <w:p>
      <w:pPr>
        <w:pStyle w:val="Heading3"/>
      </w:pPr>
      <w:r>
        <w:t xml:space="preserve">3.2 Participants</w:t>
      </w:r>
    </w:p>
    <w:p>
      <w:pPr>
        <w:pStyle w:val="FirstParagraph"/>
      </w:pPr>
      <w:r>
        <w:t xml:space="preserve">The primary participants are licensed Social Workers employed by the municipal social assistance network (CRAS/CREAS). Secondary participants include the clients served by these workers, specifically families and individuals accessing services related to poverty alleviation, domestic violence support, and youth at-risk programs.</w:t>
      </w:r>
    </w:p>
    <w:p>
      <w:pPr>
        <w:pStyle w:val="BodyText"/>
      </w:pPr>
      <w:r>
        <w:rPr>
          <w:bCs/>
          <w:b/>
        </w:rPr>
        <w:t xml:space="preserve">Inclusion Criteria for Social Workers:</w:t>
      </w:r>
    </w:p>
    <w:p>
      <w:pPr>
        <w:numPr>
          <w:ilvl w:val="0"/>
          <w:numId w:val="1003"/>
        </w:numPr>
        <w:pStyle w:val="Compact"/>
      </w:pPr>
      <w:r>
        <w:t xml:space="preserve">Minimum of two years of experience working in Rio de Janeiro.</w:t>
      </w:r>
    </w:p>
    <w:p>
      <w:pPr>
        <w:numPr>
          <w:ilvl w:val="0"/>
          <w:numId w:val="1003"/>
        </w:numPr>
        <w:pStyle w:val="Compact"/>
      </w:pPr>
      <w:r>
        <w:t xml:space="preserve">Current employment in municipal social assistance units.</w:t>
      </w:r>
    </w:p>
    <w:p>
      <w:pPr>
        <w:numPr>
          <w:ilvl w:val="0"/>
          <w:numId w:val="1003"/>
        </w:numPr>
        <w:pStyle w:val="Compact"/>
      </w:pPr>
      <w:r>
        <w:t xml:space="preserve">Willingness to undergo training in the new intervention model.</w:t>
      </w:r>
    </w:p>
    <w:bookmarkEnd w:id="24"/>
    <w:bookmarkStart w:id="25" w:name="intervention-protocol"/>
    <w:p>
      <w:pPr>
        <w:pStyle w:val="Heading3"/>
      </w:pPr>
      <w:r>
        <w:t xml:space="preserve">3.3 Intervention Protocol</w:t>
      </w:r>
    </w:p>
    <w:p>
      <w:pPr>
        <w:pStyle w:val="FirstParagraph"/>
      </w:pPr>
      <w:r>
        <w:t xml:space="preserve">In the Intervention Zone, Social Workers will implement the following changes:</w:t>
      </w:r>
    </w:p>
    <w:p>
      <w:pPr>
        <w:numPr>
          <w:ilvl w:val="0"/>
          <w:numId w:val="1004"/>
        </w:numPr>
        <w:pStyle w:val="Compact"/>
      </w:pPr>
      <w:r>
        <w:rPr>
          <w:bCs/>
          <w:b/>
        </w:rPr>
        <w:t xml:space="preserve">Community Mapping:</w:t>
      </w:r>
      <w:r>
        <w:t xml:space="preserve"> </w:t>
      </w:r>
      <w:r>
        <w:t xml:space="preserve">Workers will spend the first month mapping local informal support networks, including religious leaders, community associations, and local businesses.</w:t>
      </w:r>
    </w:p>
    <w:p>
      <w:pPr>
        <w:numPr>
          <w:ilvl w:val="0"/>
          <w:numId w:val="1004"/>
        </w:numPr>
        <w:pStyle w:val="Compact"/>
      </w:pPr>
      <w:r>
        <w:rPr>
          <w:bCs/>
          <w:b/>
        </w:rPr>
        <w:t xml:space="preserve">Decentralized Decision Making:</w:t>
      </w:r>
      <w:r>
        <w:t xml:space="preserve"> </w:t>
      </w:r>
      <w:r>
        <w:t xml:space="preserve">Social Workers will be given a discretionary budget to facilitate immediate, small-scale interventions (e.g., emergency transport, temporary food aid) without extensive bureaucratic approval.</w:t>
      </w:r>
    </w:p>
    <w:p>
      <w:pPr>
        <w:numPr>
          <w:ilvl w:val="0"/>
          <w:numId w:val="1004"/>
        </w:numPr>
        <w:pStyle w:val="Compact"/>
      </w:pPr>
      <w:r>
        <w:rPr>
          <w:bCs/>
          <w:b/>
        </w:rPr>
        <w:t xml:space="preserve">Collaborative Case Management:</w:t>
      </w:r>
      <w:r>
        <w:t xml:space="preserve"> </w:t>
      </w:r>
      <w:r>
        <w:t xml:space="preserve">Regular meetings will be held with community stakeholders to discuss case strategies, ensuring cultural competence and local relevance.</w:t>
      </w:r>
    </w:p>
    <w:p>
      <w:pPr>
        <w:numPr>
          <w:ilvl w:val="0"/>
          <w:numId w:val="1004"/>
        </w:numPr>
        <w:pStyle w:val="Compact"/>
      </w:pPr>
      <w:r>
        <w:rPr>
          <w:bCs/>
          <w:b/>
        </w:rPr>
        <w:t xml:space="preserve">Digital Integration:</w:t>
      </w:r>
      <w:r>
        <w:t xml:space="preserve"> </w:t>
      </w:r>
      <w:r>
        <w:t xml:space="preserve">Use of a secure mobile application to track client progress and coordinate with other service providers in real-time.</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(Month 0), mid-point (Month 6), and conclusion (Month 12). Key performance indicators (KPIs) include:</w:t>
      </w:r>
    </w:p>
    <w:p>
      <w:pPr>
        <w:numPr>
          <w:ilvl w:val="0"/>
          <w:numId w:val="1005"/>
        </w:numPr>
        <w:pStyle w:val="Compact"/>
      </w:pPr>
      <w:r>
        <w:rPr>
          <w:bCs/>
          <w:b/>
        </w:rPr>
        <w:t xml:space="preserve">Client Outcomes:</w:t>
      </w:r>
      <w:r>
        <w:t xml:space="preserve"> </w:t>
      </w:r>
      <w:r>
        <w:t xml:space="preserve">Measured through standardized surveys assessing perceived support, access to resources, and improvement in socio-economic stability.</w:t>
      </w:r>
    </w:p>
    <w:p>
      <w:pPr>
        <w:numPr>
          <w:ilvl w:val="0"/>
          <w:numId w:val="1005"/>
        </w:numPr>
        <w:pStyle w:val="Compact"/>
      </w:pPr>
      <w:r>
        <w:rPr>
          <w:bCs/>
          <w:b/>
        </w:rPr>
        <w:t xml:space="preserve">Worker Well-being:</w:t>
      </w:r>
      <w:r>
        <w:t xml:space="preserve"> </w:t>
      </w:r>
      <w:r>
        <w:t xml:space="preserve">Assessed using validated burnout inventories and self-reported job satisfaction scales.</w:t>
      </w:r>
    </w:p>
    <w:p>
      <w:pPr>
        <w:numPr>
          <w:ilvl w:val="0"/>
          <w:numId w:val="1005"/>
        </w:numPr>
        <w:pStyle w:val="Compact"/>
      </w:pPr>
      <w:r>
        <w:rPr>
          <w:bCs/>
          <w:b/>
        </w:rPr>
        <w:t xml:space="preserve">Operational Efficiency:</w:t>
      </w:r>
      <w:r>
        <w:t xml:space="preserve"> </w:t>
      </w:r>
      <w:r>
        <w:t xml:space="preserve">Tracked through case closure rates, time-to-intervention metrics, and resource utilization reports.</w:t>
      </w:r>
    </w:p>
    <w:p>
      <w:pPr>
        <w:pStyle w:val="FirstParagraph"/>
      </w:pPr>
      <w:r>
        <w:t xml:space="preserve">Qualitative data will also be gathered through focus groups with both Social Workers and community members to capture nuanced insights into the cultural acceptability and practical challenges of the new model.</w:t>
      </w:r>
    </w:p>
    <w:bookmarkEnd w:id="27"/>
    <w:bookmarkStart w:id="28" w:name="ethical-considerations"/>
    <w:p>
      <w:pPr>
        <w:pStyle w:val="Heading2"/>
      </w:pPr>
      <w:r>
        <w:t xml:space="preserve">5. Ethical Considerations</w:t>
      </w:r>
    </w:p>
    <w:p>
      <w:pPr>
        <w:pStyle w:val="FirstParagraph"/>
      </w:pPr>
      <w:r>
        <w:t xml:space="preserve">Given the sensitive nature of social work and the vulnerable populations involved, strict ethical guidelines will be followed in accordance with Brazilian regulations and international standards.</w:t>
      </w:r>
    </w:p>
    <w:p>
      <w:pPr>
        <w:numPr>
          <w:ilvl w:val="0"/>
          <w:numId w:val="1006"/>
        </w:numPr>
        <w:pStyle w:val="Compact"/>
      </w:pPr>
      <w:r>
        <w:rPr>
          <w:bCs/>
          <w:b/>
        </w:rPr>
        <w:t xml:space="preserve">Informed Consent:</w:t>
      </w:r>
      <w:r>
        <w:t xml:space="preserve"> </w:t>
      </w:r>
      <w:r>
        <w:t xml:space="preserve">All participants will provide written informed consent, with materials provided in clear Portuguese.</w:t>
      </w:r>
    </w:p>
    <w:p>
      <w:pPr>
        <w:numPr>
          <w:ilvl w:val="0"/>
          <w:numId w:val="1006"/>
        </w:numPr>
        <w:pStyle w:val="Compact"/>
      </w:pPr>
      <w:r>
        <w:rPr>
          <w:bCs/>
          <w:b/>
        </w:rPr>
        <w:t xml:space="preserve">Confidentiality:</w:t>
      </w:r>
      <w:r>
        <w:t xml:space="preserve"> </w:t>
      </w:r>
      <w:r>
        <w:t xml:space="preserve">All client data will be anonymized and stored securely, complying with the General Data Protection Law (LGPD) of Brazil.</w:t>
      </w:r>
    </w:p>
    <w:p>
      <w:pPr>
        <w:numPr>
          <w:ilvl w:val="0"/>
          <w:numId w:val="1006"/>
        </w:numPr>
        <w:pStyle w:val="Compact"/>
      </w:pPr>
      <w:r>
        <w:rPr>
          <w:bCs/>
          <w:b/>
        </w:rPr>
        <w:t xml:space="preserve">Do No Harm:</w:t>
      </w:r>
      <w:r>
        <w:t xml:space="preserve"> </w:t>
      </w:r>
      <w:r>
        <w:t xml:space="preserve">Protocols are in place to ensure that the control group is not deprived of essential services and that the intervention does not create unrealistic expectations.</w:t>
      </w:r>
    </w:p>
    <w:p>
      <w:pPr>
        <w:numPr>
          <w:ilvl w:val="0"/>
          <w:numId w:val="1006"/>
        </w:numPr>
        <w:pStyle w:val="Compact"/>
      </w:pPr>
      <w:r>
        <w:rPr>
          <w:bCs/>
          <w:b/>
        </w:rPr>
        <w:t xml:space="preserve">Community Engagement:</w:t>
      </w:r>
      <w:r>
        <w:t xml:space="preserve"> </w:t>
      </w:r>
      <w:r>
        <w:t xml:space="preserve">Local community leaders in Rio de Janeiro will be consulted throughout the process to ensure the experiment respects local norms and values.</w:t>
      </w:r>
    </w:p>
    <w:bookmarkEnd w:id="28"/>
    <w:bookmarkStart w:id="29" w:name="risk-management"/>
    <w:p>
      <w:pPr>
        <w:pStyle w:val="Heading2"/>
      </w:pPr>
      <w:r>
        <w:t xml:space="preserve">6. Risk Management</w:t>
      </w:r>
    </w:p>
    <w:p>
      <w:pPr>
        <w:pStyle w:val="FirstParagraph"/>
      </w:pPr>
      <w:r>
        <w:t xml:space="preserve">Potential risks include resistance to change from staff, data security breaches, and external socio-political factors affecting Rio de Janeiro. Mitigation strategies include comprehensive training programs, robust cybersecurity measures, and flexible scheduling to adapt to local events or emergencies.</w:t>
      </w:r>
    </w:p>
    <w:bookmarkEnd w:id="29"/>
    <w:bookmarkStart w:id="30" w:name="conclusion-and-expected-impact"/>
    <w:p>
      <w:pPr>
        <w:pStyle w:val="Heading2"/>
      </w:pPr>
      <w:r>
        <w:t xml:space="preserve">7. Conclusion and Expected Impact</w:t>
      </w:r>
    </w:p>
    <w:p>
      <w:pPr>
        <w:pStyle w:val="FirstParagraph"/>
      </w:pPr>
      <w:r>
        <w:t xml:space="preserve">This Experiment Protocol aims to provide empirical evidence on how Social Workers in Rio de Janeiro, Brazil, can be better supported to deliver effective, culturally sensitive services. By testing a model that emphasizes trust, local collaboration, and worker autonomy, we hope to contribute to a more resilient and responsive social assistance system. The findings will be disseminated to policymakers, academic institutions, and social work organizations to inform future practices and policy reforms in urban social services.</w:t>
      </w:r>
    </w:p>
    <w:bookmarkEnd w:id="30"/>
    <w:p>
      <w:pPr>
        <w:pStyle w:val="BodyText"/>
      </w:pPr>
      <w:r>
        <w:t xml:space="preserve">© 2023 Social Work Research Initiative. All rights reserved. This document is for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Rio de Janeiro</dc:title>
  <dc:creator/>
  <dc:language>en</dc:language>
  <cp:keywords/>
  <dcterms:created xsi:type="dcterms:W3CDTF">2026-10-10T04:06:02Z</dcterms:created>
  <dcterms:modified xsi:type="dcterms:W3CDTF">2026-10-10T04:06:02Z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