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Canada</w:t>
      </w:r>
      <w:r>
        <w:t xml:space="preserve"> </w:t>
      </w:r>
      <w:r>
        <w:t xml:space="preserve">Toronto</w:t>
      </w:r>
    </w:p>
    <w:bookmarkStart w:id="31" w:name="X4bcca211062ea34088595186296fcdf496d4f09"/>
    <w:p>
      <w:pPr>
        <w:pStyle w:val="Heading1"/>
      </w:pPr>
      <w:r>
        <w:t xml:space="preserve">Experiment Protocol: Evaluating the Impact of Integrated Social Worker Interventions on Vulnerable Populations in Canada Toronto</w:t>
      </w:r>
    </w:p>
    <w:p>
      <w:pPr>
        <w:pStyle w:val="FirstParagraph"/>
      </w:pPr>
      <w:r>
        <w:rPr>
          <w:bCs/>
          <w:b/>
        </w:rPr>
        <w:t xml:space="preserve">Protocol ID:</w:t>
      </w:r>
      <w:r>
        <w:t xml:space="preserve"> </w:t>
      </w:r>
      <w:r>
        <w:t xml:space="preserve">TOR-SW-2024-EXP-001</w:t>
      </w:r>
    </w:p>
    <w:p>
      <w:pPr>
        <w:pStyle w:val="BodyText"/>
      </w:pPr>
      <w:r>
        <w:rPr>
          <w:bCs/>
          <w:b/>
        </w:rPr>
        <w:t xml:space="preserve">Date of Issue:</w:t>
      </w:r>
      <w:r>
        <w:t xml:space="preserve"> </w:t>
      </w:r>
      <w:r>
        <w:t xml:space="preserve">October 2023</w:t>
      </w:r>
    </w:p>
    <w:p>
      <w:pPr>
        <w:pStyle w:val="BodyText"/>
      </w:pPr>
      <w:r>
        <w:rPr>
          <w:bCs/>
          <w:b/>
        </w:rPr>
        <w:t xml:space="preserve">Location:</w:t>
      </w:r>
      <w:r>
        <w:t xml:space="preserve"> </w:t>
      </w:r>
      <w:r>
        <w:t xml:space="preserve">Canada Toronto, Ontario</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Toronto Metropolitan University &amp; Toronto District School Board</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assess the efficacy of a new, integrated Social Worker intervention model within the urban context of Canada Toronto. Toronto, as one of the most diverse and rapidly growing cities in Canada, presents unique challenges regarding housing insecurity, mental health access, and immigrant integration. The role of the Social Worker in this environment is critical, yet current service delivery models often suffer from fragmentation.</w:t>
      </w:r>
    </w:p>
    <w:p>
      <w:pPr>
        <w:pStyle w:val="BodyText"/>
      </w:pPr>
      <w:r>
        <w:t xml:space="preserve">This experiment aims to determine if a centralized, proactive Social Worker engagement strategy yields statistically significant improvements in client outcomes compared to the traditional reactive referral system currently utilized by many agencies in the Greater Toronto Area (GTA).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the "Toronto Integrated Care" model where a dedicated Social Worker manages a holistic caseload versus standard care.</w:t>
      </w:r>
    </w:p>
    <w:p>
      <w:pPr>
        <w:numPr>
          <w:ilvl w:val="0"/>
          <w:numId w:val="1001"/>
        </w:numPr>
        <w:pStyle w:val="Compact"/>
      </w:pPr>
      <w:r>
        <w:t xml:space="preserve">To measure improvements in housing stability, mental health scores, and employment retention among participants.</w:t>
      </w:r>
    </w:p>
    <w:p>
      <w:pPr>
        <w:numPr>
          <w:ilvl w:val="0"/>
          <w:numId w:val="1001"/>
        </w:numPr>
        <w:pStyle w:val="Compact"/>
      </w:pPr>
      <w:r>
        <w:t xml:space="preserve">To analyze the cost-effectiveness of increased Social Worker staffing ratios in municipal service delivery.</w:t>
      </w:r>
    </w:p>
    <w:p>
      <w:pPr>
        <w:numPr>
          <w:ilvl w:val="0"/>
          <w:numId w:val="1001"/>
        </w:numPr>
        <w:pStyle w:val="Compact"/>
      </w:pPr>
      <w:r>
        <w:t xml:space="preserve">To ensure all interventions comply with the</w:t>
      </w:r>
      <w:r>
        <w:t xml:space="preserve"> </w:t>
      </w:r>
      <w:r>
        <w:rPr>
          <w:iCs/>
          <w:i/>
        </w:rPr>
        <w:t xml:space="preserve">Personal Health Information Protection Act (PHIPA)</w:t>
      </w:r>
      <w:r>
        <w:t xml:space="preserve"> </w:t>
      </w:r>
      <w:r>
        <w:t xml:space="preserve">and the</w:t>
      </w:r>
      <w:r>
        <w:t xml:space="preserve"> </w:t>
      </w:r>
      <w:r>
        <w:rPr>
          <w:iCs/>
          <w:i/>
        </w:rPr>
        <w:t xml:space="preserve">College of Social Workers and Social Service Workers in Ontario (CSWSSWO)</w:t>
      </w:r>
      <w:r>
        <w:t xml:space="preserve"> </w:t>
      </w:r>
      <w:r>
        <w:t xml:space="preserve">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community centers in high-need neighborhoods across Canada Toronto, including the Downtown Core, Scarborough, and Etobicoke. The study duration is set for 18 months.</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Individuals aged 18-65 residing in Canada Toronto.</w:t>
      </w:r>
    </w:p>
    <w:p>
      <w:pPr>
        <w:numPr>
          <w:ilvl w:val="0"/>
          <w:numId w:val="1002"/>
        </w:numPr>
        <w:pStyle w:val="Compact"/>
      </w:pPr>
      <w:r>
        <w:t xml:space="preserve">Currently experiencing at least two of the following: housing instability, unemployment, or diagnosed mental health challenges.</w:t>
      </w:r>
    </w:p>
    <w:p>
      <w:pPr>
        <w:numPr>
          <w:ilvl w:val="0"/>
          <w:numId w:val="1002"/>
        </w:numPr>
        <w:pStyle w:val="Compact"/>
      </w:pPr>
      <w:r>
        <w:t xml:space="preserve">Willingness to provide informed consent.</w:t>
      </w:r>
    </w:p>
    <w:p>
      <w:pPr>
        <w:pStyle w:val="FirstParagraph"/>
      </w:pPr>
      <w:r>
        <w:rPr>
          <w:bCs/>
          <w:b/>
        </w:rPr>
        <w:t xml:space="preserve">Exclusion Criteria:</w:t>
      </w:r>
    </w:p>
    <w:p>
      <w:pPr>
        <w:numPr>
          <w:ilvl w:val="0"/>
          <w:numId w:val="1003"/>
        </w:numPr>
        <w:pStyle w:val="Compact"/>
      </w:pPr>
      <w:r>
        <w:t xml:space="preserve">Individuals currently under the care of a specialized Social Worker in a crisis intervention program.</w:t>
      </w:r>
    </w:p>
    <w:p>
      <w:pPr>
        <w:numPr>
          <w:ilvl w:val="0"/>
          <w:numId w:val="1003"/>
        </w:numPr>
        <w:pStyle w:val="Compact"/>
      </w:pPr>
      <w:r>
        <w:t xml:space="preserve">Individuals unable to communicate in English or French without an interpreter (due to resource constraints).</w:t>
      </w:r>
    </w:p>
    <w:bookmarkEnd w:id="23"/>
    <w:bookmarkStart w:id="24" w:name="intervention-groups"/>
    <w:p>
      <w:pPr>
        <w:pStyle w:val="Heading3"/>
      </w:pPr>
      <w:r>
        <w:t xml:space="preserve">3.3 Intervention Groups</w:t>
      </w:r>
    </w:p>
    <w:p>
      <w:pPr>
        <w:pStyle w:val="FirstParagraph"/>
      </w:pPr>
      <w:r>
        <w:rPr>
          <w:bCs/>
          <w:b/>
        </w:rPr>
        <w:t xml:space="preserve">Group A (Experimental):</w:t>
      </w:r>
      <w:r>
        <w:t xml:space="preserve"> </w:t>
      </w:r>
      <w:r>
        <w:t xml:space="preserve">Participants will be assigned a dedicated Social Worker who provides weekly check-ins, direct advocacy with landlords and employers, and coordinated access to healthcare. This Social Worker will operate under a reduced caseload to allow for deep engagement.</w:t>
      </w:r>
    </w:p>
    <w:p>
      <w:pPr>
        <w:pStyle w:val="BodyText"/>
      </w:pPr>
      <w:r>
        <w:rPr>
          <w:bCs/>
          <w:b/>
        </w:rPr>
        <w:t xml:space="preserve">Group B (Control):</w:t>
      </w:r>
      <w:r>
        <w:t xml:space="preserve"> </w:t>
      </w:r>
      <w:r>
        <w:t xml:space="preserve">Participants will receive standard care as provided by Toronto municipal services, which typically involves referral to various agencies without a single point of contact or ongoing case management.</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baseline, 6 months, 12 months, and 18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Housing Stability</w:t>
            </w:r>
          </w:p>
        </w:tc>
        <w:tc>
          <w:tcPr/>
          <w:p>
            <w:pPr>
              <w:pStyle w:val="Compact"/>
              <w:jc w:val="left"/>
            </w:pPr>
            <w:r>
              <w:t xml:space="preserve">Number of housing moves; days spent in shelter.</w:t>
            </w:r>
          </w:p>
        </w:tc>
        <w:tc>
          <w:tcPr/>
          <w:p>
            <w:pPr>
              <w:pStyle w:val="Compact"/>
              <w:jc w:val="left"/>
            </w:pPr>
            <w:r>
              <w:t xml:space="preserve">Self-report survey &amp; municipal shelter data.</w:t>
            </w:r>
          </w:p>
        </w:tc>
      </w:tr>
      <w:tr>
        <w:tc>
          <w:tcPr/>
          <w:p>
            <w:pPr>
              <w:pStyle w:val="Compact"/>
              <w:jc w:val="left"/>
            </w:pPr>
            <w:r>
              <w:t xml:space="preserve">Mental Health</w:t>
            </w:r>
          </w:p>
        </w:tc>
        <w:tc>
          <w:tcPr/>
          <w:p>
            <w:pPr>
              <w:pStyle w:val="Compact"/>
              <w:jc w:val="left"/>
            </w:pPr>
            <w:r>
              <w:t xml:space="preserve">Reduction in anxiety and depression symptoms.</w:t>
            </w:r>
          </w:p>
        </w:tc>
        <w:tc>
          <w:tcPr/>
          <w:p>
            <w:pPr>
              <w:pStyle w:val="Compact"/>
              <w:jc w:val="left"/>
            </w:pPr>
            <w:r>
              <w:t xml:space="preserve">PHQ-9 and GAD-7 scales.</w:t>
            </w:r>
          </w:p>
        </w:tc>
      </w:tr>
      <w:tr>
        <w:tc>
          <w:tcPr/>
          <w:p>
            <w:pPr>
              <w:pStyle w:val="Compact"/>
              <w:jc w:val="left"/>
            </w:pPr>
            <w:r>
              <w:t xml:space="preserve">Social Integration</w:t>
            </w:r>
          </w:p>
        </w:tc>
        <w:tc>
          <w:tcPr/>
          <w:p>
            <w:pPr>
              <w:pStyle w:val="Compact"/>
              <w:jc w:val="left"/>
            </w:pPr>
            <w:r>
              <w:t xml:space="preserve">Engagement with community resources.</w:t>
            </w:r>
          </w:p>
        </w:tc>
        <w:tc>
          <w:tcPr/>
          <w:p>
            <w:pPr>
              <w:pStyle w:val="Compact"/>
              <w:jc w:val="left"/>
            </w:pPr>
            <w:r>
              <w:t xml:space="preserve">Service utilization logs.</w:t>
            </w:r>
          </w:p>
        </w:tc>
      </w:tr>
      <w:tr>
        <w:tc>
          <w:tcPr/>
          <w:p>
            <w:pPr>
              <w:pStyle w:val="Compact"/>
              <w:jc w:val="left"/>
            </w:pPr>
            <w:r>
              <w:t xml:space="preserve">Economic Status</w:t>
            </w:r>
          </w:p>
        </w:tc>
        <w:tc>
          <w:tcPr/>
          <w:p>
            <w:pPr>
              <w:pStyle w:val="Compact"/>
              <w:jc w:val="left"/>
            </w:pPr>
            <w:r>
              <w:t xml:space="preserve">Employment status and income stability.</w:t>
            </w:r>
          </w:p>
        </w:tc>
        <w:tc>
          <w:tcPr/>
          <w:p>
            <w:pPr>
              <w:pStyle w:val="Compact"/>
              <w:jc w:val="left"/>
            </w:pPr>
            <w:r>
              <w:t xml:space="preserve">Employment Insurance records (with consent).</w:t>
            </w:r>
          </w:p>
        </w:tc>
      </w:tr>
    </w:tbl>
    <w:bookmarkEnd w:id="26"/>
    <w:bookmarkStart w:id="27" w:name="ethical-considerations"/>
    <w:p>
      <w:pPr>
        <w:pStyle w:val="Heading2"/>
      </w:pPr>
      <w:r>
        <w:t xml:space="preserve">5. Ethical Considerations</w:t>
      </w:r>
    </w:p>
    <w:p>
      <w:pPr>
        <w:pStyle w:val="FirstParagraph"/>
      </w:pPr>
      <w:r>
        <w:t xml:space="preserve">Given the vulnerable nature of the population in Canada Toronto, ethical rigor is paramount. This protocol adheres to the Tri-Council Policy Statement: Ethical Conduct for Research Involving Humans (TCPS 2).</w:t>
      </w:r>
    </w:p>
    <w:p>
      <w:pPr>
        <w:numPr>
          <w:ilvl w:val="0"/>
          <w:numId w:val="1004"/>
        </w:numPr>
        <w:pStyle w:val="Compact"/>
      </w:pPr>
      <w:r>
        <w:rPr>
          <w:bCs/>
          <w:b/>
        </w:rPr>
        <w:t xml:space="preserve">Informed Consent:</w:t>
      </w:r>
      <w:r>
        <w:t xml:space="preserve"> </w:t>
      </w:r>
      <w:r>
        <w:t xml:space="preserve">All participants must sign a consent form detailing their rights, including the right to withdraw at any time without penalty to their existing services.</w:t>
      </w:r>
    </w:p>
    <w:p>
      <w:pPr>
        <w:numPr>
          <w:ilvl w:val="0"/>
          <w:numId w:val="1004"/>
        </w:numPr>
        <w:pStyle w:val="Compact"/>
      </w:pPr>
      <w:r>
        <w:rPr>
          <w:bCs/>
          <w:b/>
        </w:rPr>
        <w:t xml:space="preserve">Confidentiality:</w:t>
      </w:r>
      <w:r>
        <w:t xml:space="preserve"> </w:t>
      </w:r>
      <w:r>
        <w:t xml:space="preserve">All data will be anonymized. The Social Worker involved in the experiment must maintain strict boundaries between their research role and their clinical role.</w:t>
      </w:r>
    </w:p>
    <w:p>
      <w:pPr>
        <w:numPr>
          <w:ilvl w:val="0"/>
          <w:numId w:val="1004"/>
        </w:numPr>
        <w:pStyle w:val="Compact"/>
      </w:pPr>
      <w:r>
        <w:rPr>
          <w:bCs/>
          <w:b/>
        </w:rPr>
        <w:t xml:space="preserve">Equipoise:</w:t>
      </w:r>
      <w:r>
        <w:t xml:space="preserve"> </w:t>
      </w:r>
      <w:r>
        <w:t xml:space="preserve">The control group will not be denied care; they will receive the standard of care currently available in Toronto.</w:t>
      </w:r>
    </w:p>
    <w:bookmarkEnd w:id="27"/>
    <w:bookmarkStart w:id="28" w:name="risk-management"/>
    <w:p>
      <w:pPr>
        <w:pStyle w:val="Heading2"/>
      </w:pPr>
      <w:r>
        <w:t xml:space="preserve">6. Risk Management</w:t>
      </w:r>
    </w:p>
    <w:p>
      <w:pPr>
        <w:pStyle w:val="FirstParagraph"/>
      </w:pPr>
      <w:r>
        <w:t xml:space="preserve">There is a potential risk that participants in the control group may feel neglected compared to the experimental group. To mitigate this, all participants will be informed that the control group represents the current standard of care in Canada Toronto. Additionally, a crisis protocol is in place: if any participant exhibits signs of severe distress or imminent harm, the Social Worker is mandated to intervene immediately, regardless of group assignment, potentially removing them from the blind study parameters.</w:t>
      </w:r>
    </w:p>
    <w:bookmarkEnd w:id="28"/>
    <w:bookmarkStart w:id="29" w:name="timeline"/>
    <w:p>
      <w:pPr>
        <w:pStyle w:val="Heading2"/>
      </w:pPr>
      <w:r>
        <w:t xml:space="preserve">7. Timeline</w:t>
      </w:r>
    </w:p>
    <w:p>
      <w:pPr>
        <w:numPr>
          <w:ilvl w:val="0"/>
          <w:numId w:val="1005"/>
        </w:numPr>
        <w:pStyle w:val="Compact"/>
      </w:pPr>
      <w:r>
        <w:rPr>
          <w:bCs/>
          <w:b/>
        </w:rPr>
        <w:t xml:space="preserve">Months 1-3:</w:t>
      </w:r>
      <w:r>
        <w:t xml:space="preserve"> </w:t>
      </w:r>
      <w:r>
        <w:t xml:space="preserve">Recruitment and baseline data collection.</w:t>
      </w:r>
    </w:p>
    <w:p>
      <w:pPr>
        <w:numPr>
          <w:ilvl w:val="0"/>
          <w:numId w:val="1005"/>
        </w:numPr>
        <w:pStyle w:val="Compact"/>
      </w:pPr>
      <w:r>
        <w:rPr>
          <w:bCs/>
          <w:b/>
        </w:rPr>
        <w:t xml:space="preserve">Months 4-15:</w:t>
      </w:r>
      <w:r>
        <w:t xml:space="preserve"> </w:t>
      </w:r>
      <w:r>
        <w:t xml:space="preserve">Implementation of the Social Worker intervention.</w:t>
      </w:r>
    </w:p>
    <w:p>
      <w:pPr>
        <w:numPr>
          <w:ilvl w:val="0"/>
          <w:numId w:val="1005"/>
        </w:numPr>
        <w:pStyle w:val="Compact"/>
      </w:pPr>
      <w:r>
        <w:rPr>
          <w:bCs/>
          <w:b/>
        </w:rPr>
        <w:t xml:space="preserve">Months 16-18:</w:t>
      </w:r>
      <w:r>
        <w:t xml:space="preserve"> </w:t>
      </w:r>
      <w:r>
        <w:t xml:space="preserve">Final data collection and analysis.</w:t>
      </w:r>
    </w:p>
    <w:bookmarkEnd w:id="29"/>
    <w:bookmarkStart w:id="30" w:name="conclusion"/>
    <w:p>
      <w:pPr>
        <w:pStyle w:val="Heading2"/>
      </w:pPr>
      <w:r>
        <w:t xml:space="preserve">8. Conclusion</w:t>
      </w:r>
    </w:p>
    <w:p>
      <w:pPr>
        <w:pStyle w:val="FirstParagraph"/>
      </w:pPr>
      <w:r>
        <w:t xml:space="preserve">This Experiment Protocol seeks to provide empirical evidence on the value of specialized Social Worker interventions in the complex urban landscape of Canada Toronto. By rigorously testing this model, we aim to inform policy decisions that could lead to more effective, humane, and efficient social services for the residents of Toronto and potentially other major Canadian cities.</w:t>
      </w:r>
    </w:p>
    <w:bookmarkEnd w:id="30"/>
    <w:p>
      <w:pPr>
        <w:pStyle w:val="BodyText"/>
      </w:pPr>
      <w:r>
        <w:rPr>
          <w:iCs/>
          <w:i/>
        </w:rPr>
        <w:t xml:space="preserve">Disclaimer: This document is a template for an experiment protocol. It does not constitute actual medical or social work advice. All procedures must be approved by a Research Ethics Board (REB) prior to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Canada Toronto</dc:title>
  <dc:creator/>
  <dc:language>en</dc:language>
  <cp:keywords/>
  <dcterms:created xsi:type="dcterms:W3CDTF">2026-10-10T04:31:46Z</dcterms:created>
  <dcterms:modified xsi:type="dcterms:W3CDTF">2026-10-10T04:31:46Z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