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Colombia</w:t>
      </w:r>
      <w:r>
        <w:t xml:space="preserve"> </w:t>
      </w:r>
      <w:r>
        <w:t xml:space="preserve">Bogotá</w:t>
      </w:r>
    </w:p>
    <w:bookmarkStart w:id="30" w:name="X76ff7f0ede2958e16b9fc406ef5fb7e1ad28a96"/>
    <w:p>
      <w:pPr>
        <w:pStyle w:val="Heading1"/>
      </w:pPr>
      <w:r>
        <w:t xml:space="preserve">Experiment Protocol: Social Worker Intervention in Colombia Bogotá</w:t>
      </w:r>
    </w:p>
    <w:bookmarkStart w:id="20" w:name="introduction"/>
    <w:p>
      <w:pPr>
        <w:pStyle w:val="Heading2"/>
      </w:pPr>
      <w:r>
        <w:t xml:space="preserve">1. Introduction</w:t>
      </w:r>
    </w:p>
    <w:p>
      <w:pPr>
        <w:pStyle w:val="FirstParagraph"/>
      </w:pPr>
      <w:r>
        <w:t xml:space="preserve">This Experiment Protocol outlines the methodology for evaluating the effectiveness of a targeted Social Worker intervention program in Colombia Bogotá. The study aims to assess how structured social work practices can improve community well-being, reduce social vulnerabilities, and enhance access to essential services in urban areas of Bogotá. Given the socio-economic challenges faced by many neighborhoods in Colombia Bogotá, this protocol seeks to provide evidence-based insights into the role of Social Workers in fostering sustainable development and social cohesion.</w:t>
      </w:r>
    </w:p>
    <w:p>
      <w:pPr>
        <w:pStyle w:val="BodyText"/>
      </w:pPr>
      <w:r>
        <w:t xml:space="preserve">The experiment will focus on specific communities within Colombia Bogotá that exhibit high levels of poverty, limited access to healthcare, and educational disparities. By implementing a controlled intervention led by trained Social Workers, the study will measure changes in key indicators such as mental health outcomes, family stability, employment rates, and community engagement.</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impact of Social Worker-led interventions on improving quality of life in selected communities in Colombia Bogotá.</w:t>
      </w:r>
    </w:p>
    <w:p>
      <w:pPr>
        <w:numPr>
          <w:ilvl w:val="0"/>
          <w:numId w:val="1001"/>
        </w:numPr>
        <w:pStyle w:val="Compact"/>
      </w:pPr>
      <w:r>
        <w:t xml:space="preserve">To identify best practices for integrating Social Workers into local governance and community development initiatives.</w:t>
      </w:r>
    </w:p>
    <w:p>
      <w:pPr>
        <w:numPr>
          <w:ilvl w:val="0"/>
          <w:numId w:val="1001"/>
        </w:numPr>
        <w:pStyle w:val="Compact"/>
      </w:pPr>
      <w:r>
        <w:t xml:space="preserve">To assess the scalability of the intervention model for broader application across Colombia Bogotá and other urban centers in Colombia.</w:t>
      </w:r>
    </w:p>
    <w:p>
      <w:pPr>
        <w:numPr>
          <w:ilvl w:val="0"/>
          <w:numId w:val="1001"/>
        </w:numPr>
        <w:pStyle w:val="Compact"/>
      </w:pPr>
      <w:r>
        <w:t xml:space="preserve">To gather qualitative and quantitative data to inform policy recommendations for enhancing social services in Colombia Bogotá.</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with qualitative interviews and focus groups. The experimental design will include two groups: an intervention group receiving direct support from Social Workers and a control group without such support. Both groups will be drawn from similar socio-economic backgrounds within Colombia Bogotá to ensure comparability.</w:t>
      </w:r>
    </w:p>
    <w:bookmarkEnd w:id="22"/>
    <w:bookmarkStart w:id="23" w:name="participant-selection"/>
    <w:p>
      <w:pPr>
        <w:pStyle w:val="Heading3"/>
      </w:pPr>
      <w:r>
        <w:t xml:space="preserve">3.2 Participant Selection</w:t>
      </w:r>
    </w:p>
    <w:p>
      <w:pPr>
        <w:pStyle w:val="FirstParagraph"/>
      </w:pPr>
      <w:r>
        <w:t xml:space="preserve">Participants will be recruited from marginalized neighborhoods in Colombia Bogotá, prioritizing areas with documented needs for social assistance. Eligibility criteria include residency in the target area for at least six months, age 18 or older, and willingness to participate in the study. A total of 500 households will be selected, with 250 assigned to each group.</w:t>
      </w:r>
    </w:p>
    <w:bookmarkEnd w:id="23"/>
    <w:bookmarkStart w:id="24" w:name="intervention-framework"/>
    <w:p>
      <w:pPr>
        <w:pStyle w:val="Heading3"/>
      </w:pPr>
      <w:r>
        <w:t xml:space="preserve">3.3 Intervention Framework</w:t>
      </w:r>
    </w:p>
    <w:p>
      <w:pPr>
        <w:pStyle w:val="FirstParagraph"/>
      </w:pPr>
      <w:r>
        <w:t xml:space="preserve">The intervention will involve trained Social Workers conducting regular home visits, organizing community workshops, and facilitating access to government programs. Key activities include:</w:t>
      </w:r>
    </w:p>
    <w:p>
      <w:pPr>
        <w:numPr>
          <w:ilvl w:val="0"/>
          <w:numId w:val="1002"/>
        </w:numPr>
        <w:pStyle w:val="Compact"/>
      </w:pPr>
      <w:r>
        <w:t xml:space="preserve">Providing counseling and emotional support to individuals and families.</w:t>
      </w:r>
    </w:p>
    <w:p>
      <w:pPr>
        <w:numPr>
          <w:ilvl w:val="0"/>
          <w:numId w:val="1002"/>
        </w:numPr>
        <w:pStyle w:val="Compact"/>
      </w:pPr>
      <w:r>
        <w:t xml:space="preserve">Assisting participants in navigating bureaucratic processes to access healthcare, education, and financial aid.</w:t>
      </w:r>
    </w:p>
    <w:p>
      <w:pPr>
        <w:numPr>
          <w:ilvl w:val="0"/>
          <w:numId w:val="1002"/>
        </w:numPr>
        <w:pStyle w:val="Compact"/>
      </w:pPr>
      <w:r>
        <w:t xml:space="preserve">Organizing skill-building workshops focused on employability, financial literacy, and conflict resolution.</w:t>
      </w:r>
    </w:p>
    <w:p>
      <w:pPr>
        <w:numPr>
          <w:ilvl w:val="0"/>
          <w:numId w:val="1002"/>
        </w:numPr>
        <w:pStyle w:val="Compact"/>
      </w:pPr>
      <w:r>
        <w:t xml:space="preserve">Collaborating with local organizations to strengthen community networks and resources.</w:t>
      </w:r>
    </w:p>
    <w:bookmarkEnd w:id="24"/>
    <w:bookmarkStart w:id="25" w:name="data-collection"/>
    <w:p>
      <w:pPr>
        <w:pStyle w:val="Heading3"/>
      </w:pPr>
      <w:r>
        <w:t xml:space="preserve">3.4 Data Collection</w:t>
      </w:r>
    </w:p>
    <w:p>
      <w:pPr>
        <w:pStyle w:val="FirstParagraph"/>
      </w:pPr>
      <w:r>
        <w:t xml:space="preserve">Data will be collected at three stages: baseline (before the intervention), midline (after three months), and endline (after six months). Quantitative data will be gathered through structured surveys measuring indicators such as income levels, health status, and satisfaction with public services. Qualitative data will be obtained through semi-structured interviews and focus group discussions to capture personal experiences and perceptions.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ethical guidelines established by international standards and Colombian regulations. Key considerations include:</w:t>
      </w:r>
    </w:p>
    <w:p>
      <w:pPr>
        <w:numPr>
          <w:ilvl w:val="0"/>
          <w:numId w:val="1003"/>
        </w:numPr>
        <w:pStyle w:val="Compact"/>
      </w:pPr>
      <w:r>
        <w:t xml:space="preserve">Informed consent: All participants will provide written consent after being fully informed about the study's purpose, procedures, and potential risks.</w:t>
      </w:r>
    </w:p>
    <w:p>
      <w:pPr>
        <w:numPr>
          <w:ilvl w:val="0"/>
          <w:numId w:val="1003"/>
        </w:numPr>
        <w:pStyle w:val="Compact"/>
      </w:pPr>
      <w:r>
        <w:t xml:space="preserve">Confidentiality: Personal information will be anonymized and stored securely to protect participant privacy.</w:t>
      </w:r>
    </w:p>
    <w:p>
      <w:pPr>
        <w:numPr>
          <w:ilvl w:val="0"/>
          <w:numId w:val="1003"/>
        </w:numPr>
        <w:pStyle w:val="Compact"/>
      </w:pPr>
      <w:r>
        <w:t xml:space="preserve">Voluntary participation: Participants may withdraw from the study at any time without penalty.</w:t>
      </w:r>
    </w:p>
    <w:p>
      <w:pPr>
        <w:numPr>
          <w:ilvl w:val="0"/>
          <w:numId w:val="1003"/>
        </w:numPr>
        <w:pStyle w:val="Compact"/>
      </w:pPr>
      <w:r>
        <w:t xml:space="preserve">Equity: Efforts will be made to ensure fair treatment of all participants, regardless of gender, ethnicity, or socio-economic status.</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of Social Workers, training, and participant selection.</w:t>
            </w:r>
          </w:p>
        </w:tc>
      </w:tr>
      <w:tr>
        <w:tc>
          <w:tcPr/>
          <w:p>
            <w:pPr>
              <w:pStyle w:val="Compact"/>
              <w:jc w:val="left"/>
            </w:pPr>
            <w:r>
              <w:t xml:space="preserve">Baseline Data Collection</w:t>
            </w:r>
          </w:p>
        </w:tc>
        <w:tc>
          <w:tcPr/>
          <w:p>
            <w:pPr>
              <w:pStyle w:val="Compact"/>
              <w:jc w:val="left"/>
            </w:pPr>
            <w:r>
              <w:t xml:space="preserve">1 month</w:t>
            </w:r>
          </w:p>
        </w:tc>
        <w:tc>
          <w:tcPr/>
          <w:p>
            <w:pPr>
              <w:pStyle w:val="Compact"/>
              <w:jc w:val="left"/>
            </w:pPr>
            <w:r>
              <w:t xml:space="preserve">Surveys and interviews conducted before the intervention begins.</w:t>
            </w:r>
          </w:p>
        </w:tc>
      </w:tr>
      <w:tr>
        <w:tc>
          <w:tcPr/>
          <w:p>
            <w:pPr>
              <w:pStyle w:val="Compact"/>
              <w:jc w:val="left"/>
            </w:pPr>
            <w:r>
              <w:t xml:space="preserve">Intervention Period</w:t>
            </w:r>
          </w:p>
        </w:tc>
        <w:tc>
          <w:tcPr/>
          <w:p>
            <w:pPr>
              <w:pStyle w:val="Compact"/>
              <w:jc w:val="left"/>
            </w:pPr>
            <w:r>
              <w:t xml:space="preserve">6 months</w:t>
            </w:r>
          </w:p>
        </w:tc>
        <w:tc>
          <w:tcPr/>
          <w:p>
            <w:pPr>
              <w:pStyle w:val="Compact"/>
              <w:jc w:val="left"/>
            </w:pPr>
            <w:r>
              <w:t xml:space="preserve">Implementation of Social Worker activities in the intervention group.</w:t>
            </w:r>
          </w:p>
        </w:tc>
      </w:tr>
      <w:tr>
        <w:tc>
          <w:tcPr/>
          <w:p>
            <w:pPr>
              <w:pStyle w:val="Compact"/>
              <w:jc w:val="left"/>
            </w:pPr>
            <w:r>
              <w:t xml:space="preserve">Midline Data Collection</w:t>
            </w:r>
          </w:p>
        </w:tc>
        <w:tc>
          <w:tcPr/>
          <w:p>
            <w:pPr>
              <w:pStyle w:val="Compact"/>
              <w:jc w:val="left"/>
            </w:pPr>
            <w:r>
              <w:t xml:space="preserve">1 month</w:t>
            </w:r>
          </w:p>
        </w:tc>
        <w:tc>
          <w:tcPr/>
          <w:p>
            <w:pPr>
              <w:pStyle w:val="Compact"/>
              <w:jc w:val="left"/>
            </w:pPr>
            <w:r>
              <w:t xml:space="preserve">Assessment of progress halfway through the intervention.</w:t>
            </w:r>
          </w:p>
        </w:tc>
      </w:tr>
      <w:tr>
        <w:tc>
          <w:tcPr/>
          <w:p>
            <w:pPr>
              <w:pStyle w:val="Compact"/>
              <w:jc w:val="left"/>
            </w:pPr>
            <w:r>
              <w:t xml:space="preserve">Endline Data Collection</w:t>
            </w:r>
          </w:p>
        </w:tc>
        <w:tc>
          <w:tcPr/>
          <w:p>
            <w:pPr>
              <w:pStyle w:val="Compact"/>
              <w:jc w:val="left"/>
            </w:pPr>
            <w:r>
              <w:t xml:space="preserve">1 month</w:t>
            </w:r>
          </w:p>
        </w:tc>
        <w:tc>
          <w:tcPr/>
          <w:p>
            <w:pPr>
              <w:pStyle w:val="Compact"/>
              <w:jc w:val="left"/>
            </w:pPr>
            <w:r>
              <w:t xml:space="preserve">Final evaluation of outcomes and comparison between groups.</w:t>
            </w:r>
          </w:p>
        </w:tc>
      </w:tr>
      <w:tr>
        <w:tc>
          <w:tcPr/>
          <w:p>
            <w:pPr>
              <w:pStyle w:val="Compact"/>
              <w:jc w:val="left"/>
            </w:pPr>
            <w:r>
              <w:t xml:space="preserve">Analysis and Reporting</w:t>
            </w:r>
          </w:p>
        </w:tc>
        <w:tc>
          <w:tcPr/>
          <w:p>
            <w:pPr>
              <w:pStyle w:val="Compact"/>
              <w:jc w:val="left"/>
            </w:pPr>
            <w:r>
              <w:t xml:space="preserve">2 months</w:t>
            </w:r>
          </w:p>
        </w:tc>
        <w:tc>
          <w:tcPr/>
          <w:p>
            <w:pPr>
              <w:pStyle w:val="Compact"/>
              <w:jc w:val="left"/>
            </w:pPr>
            <w:r>
              <w:t xml:space="preserve">Data analysis, drafting of findings, and dissemination of results.</w:t>
            </w:r>
          </w:p>
        </w:tc>
      </w:tr>
    </w:tbl>
    <w:bookmarkEnd w:id="28"/>
    <w:bookmarkStart w:id="29" w:name="expected-outcomes"/>
    <w:p>
      <w:pPr>
        <w:pStyle w:val="Heading2"/>
      </w:pPr>
      <w:r>
        <w:t xml:space="preserve">6. Expected Outcomes</w:t>
      </w:r>
    </w:p>
    <w:p>
      <w:pPr>
        <w:pStyle w:val="FirstParagraph"/>
      </w:pPr>
      <w:r>
        <w:t xml:space="preserve">This Experiment Protocol anticipates several positive outcomes, including:</w:t>
      </w:r>
    </w:p>
    <w:p>
      <w:pPr>
        <w:numPr>
          <w:ilvl w:val="0"/>
          <w:numId w:val="1004"/>
        </w:numPr>
        <w:pStyle w:val="Compact"/>
      </w:pPr>
      <w:r>
        <w:t xml:space="preserve">Improved mental health and well-being among participants in the intervention group.</w:t>
      </w:r>
    </w:p>
    <w:p>
      <w:pPr>
        <w:numPr>
          <w:ilvl w:val="0"/>
          <w:numId w:val="1004"/>
        </w:numPr>
        <w:pStyle w:val="Compact"/>
      </w:pPr>
      <w:r>
        <w:t xml:space="preserve">Increased access to essential services such as healthcare and education.</w:t>
      </w:r>
    </w:p>
    <w:p>
      <w:pPr>
        <w:numPr>
          <w:ilvl w:val="0"/>
          <w:numId w:val="1004"/>
        </w:numPr>
        <w:pStyle w:val="Compact"/>
      </w:pPr>
      <w:r>
        <w:t xml:space="preserve">Enhanced community cohesion and reduced social isolation.</w:t>
      </w:r>
    </w:p>
    <w:p>
      <w:pPr>
        <w:numPr>
          <w:ilvl w:val="0"/>
          <w:numId w:val="1004"/>
        </w:numPr>
        <w:pStyle w:val="Compact"/>
      </w:pPr>
      <w:r>
        <w:t xml:space="preserve">Valuable insights into the role of Social Workers in addressing urban challenges in Colombia Bogotá.</w:t>
      </w:r>
    </w:p>
    <w:p>
      <w:pPr>
        <w:pStyle w:val="FirstParagraph"/>
      </w:pPr>
      <w:r>
        <w:t xml:space="preserve">By demonstrating the tangible benefits of Social Worker interventions, this study aims to advocate for greater investment in social services and professional training within Colombia Bogotá. Ultimately, the findings will contribute to building more resilient and equitable communities across Colombia.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Colombia Bogotá</dc:title>
  <dc:creator/>
  <dc:language>en</dc:language>
  <cp:keywords/>
  <dcterms:created xsi:type="dcterms:W3CDTF">2026-10-10T06:59:21Z</dcterms:created>
  <dcterms:modified xsi:type="dcterms:W3CDTF">2026-10-10T06:59:21Z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