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Germany</w:t>
      </w:r>
      <w:r>
        <w:t xml:space="preserve"> </w:t>
      </w:r>
      <w:r>
        <w:t xml:space="preserve">Munich</w:t>
      </w:r>
    </w:p>
    <w:p>
      <w:pPr>
        <w:pStyle w:val="FirstParagraph"/>
      </w:pPr>
      <w:r>
        <w:rPr>
          <w:bCs/>
          <w:b/>
        </w:rPr>
        <w:t xml:space="preserve">Document ID:</w:t>
      </w:r>
      <w:r>
        <w:t xml:space="preserve"> </w:t>
      </w:r>
      <w:r>
        <w:t xml:space="preserve">EXP-MUC-SW-2024-001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Munich, Bavaria, Germany</w:t>
      </w:r>
    </w:p>
    <w:bookmarkStart w:id="31" w:name="X7d07d9d21762b09d372387e722a11fe27926074"/>
    <w:p>
      <w:pPr>
        <w:pStyle w:val="Heading1"/>
      </w:pPr>
      <w:r>
        <w:t xml:space="preserve">Experiment Protocol: Digital Integration Support for Social Workers in Germany Munich</w:t>
      </w:r>
    </w:p>
    <w:bookmarkStart w:id="20" w:name="introduction-and-background"/>
    <w:p>
      <w:pPr>
        <w:pStyle w:val="Heading2"/>
      </w:pPr>
      <w:r>
        <w:t xml:space="preserve">1. Introduction and Background</w:t>
      </w:r>
    </w:p>
    <w:p>
      <w:pPr>
        <w:pStyle w:val="FirstParagraph"/>
      </w:pPr>
      <w:r>
        <w:t xml:space="preserve">This Experiment Protocol outlines the methodology for a pilot study designed to evaluate the efficacy of a new digital case management tool for Social Workers operating within the metropolitan area of Germany Munich. The social welfare landscape in Munich is characterized by high population density, a diverse demographic mix, and significant administrative demands. Social Workers in this region frequently manage complex caseloads involving housing insecurity, migration integration, and youth welfare.</w:t>
      </w:r>
    </w:p>
    <w:p>
      <w:pPr>
        <w:pStyle w:val="BodyText"/>
      </w:pPr>
      <w:r>
        <w:t xml:space="preserve">The primary objective of this experiment is to determine whether the implementation of the "MunichConnect" digital platform can reduce administrative burden and improve client outcomes for Social Workers compared to traditional paper-based or legacy digital systems. This protocol adheres to the ethical standards required by the Bavarian State Association of Social Work and complies with the General Data Protection Regulation (GDPR) applicable in Germany.</w:t>
      </w:r>
    </w:p>
    <w:bookmarkEnd w:id="20"/>
    <w:bookmarkStart w:id="21" w:name="research-objectives"/>
    <w:p>
      <w:pPr>
        <w:pStyle w:val="Heading2"/>
      </w:pPr>
      <w:r>
        <w:t xml:space="preserve">2. Research Objectives</w:t>
      </w:r>
    </w:p>
    <w:p>
      <w:pPr>
        <w:pStyle w:val="FirstParagraph"/>
      </w:pPr>
      <w:r>
        <w:t xml:space="preserve">The experiment aims to achieve the following specific objectives within the context of the Munich social services sector:</w:t>
      </w:r>
    </w:p>
    <w:p>
      <w:pPr>
        <w:numPr>
          <w:ilvl w:val="0"/>
          <w:numId w:val="1001"/>
        </w:numPr>
        <w:pStyle w:val="Compact"/>
      </w:pPr>
      <w:r>
        <w:rPr>
          <w:bCs/>
          <w:b/>
        </w:rPr>
        <w:t xml:space="preserve">Efficiency Analysis:</w:t>
      </w:r>
      <w:r>
        <w:t xml:space="preserve"> </w:t>
      </w:r>
      <w:r>
        <w:t xml:space="preserve">To quantify the reduction in time spent on documentation and reporting by Social Workers using the new platform.</w:t>
      </w:r>
    </w:p>
    <w:p>
      <w:pPr>
        <w:numPr>
          <w:ilvl w:val="0"/>
          <w:numId w:val="1001"/>
        </w:numPr>
        <w:pStyle w:val="Compact"/>
      </w:pPr>
      <w:r>
        <w:rPr>
          <w:bCs/>
          <w:b/>
        </w:rPr>
        <w:t xml:space="preserve">Client Engagement:</w:t>
      </w:r>
      <w:r>
        <w:t xml:space="preserve"> </w:t>
      </w:r>
      <w:r>
        <w:t xml:space="preserve">To assess whether real-time digital communication tools improve the frequency and quality of contact between Social Workers and their clients in Munich.</w:t>
      </w:r>
    </w:p>
    <w:p>
      <w:pPr>
        <w:numPr>
          <w:ilvl w:val="0"/>
          <w:numId w:val="1001"/>
        </w:numPr>
        <w:pStyle w:val="Compact"/>
      </w:pPr>
      <w:r>
        <w:rPr>
          <w:bCs/>
          <w:b/>
        </w:rPr>
        <w:t xml:space="preserve">Inter-agency Collaboration:</w:t>
      </w:r>
      <w:r>
        <w:t xml:space="preserve"> </w:t>
      </w:r>
      <w:r>
        <w:t xml:space="preserve">To evaluate the ease of data sharing between municipal departments (e.g., Jobcenter Munich, Youth Welfare Office) facilitated by the experiment.</w:t>
      </w:r>
    </w:p>
    <w:p>
      <w:pPr>
        <w:numPr>
          <w:ilvl w:val="0"/>
          <w:numId w:val="1001"/>
        </w:numPr>
        <w:pStyle w:val="Compact"/>
      </w:pPr>
      <w:r>
        <w:rPr>
          <w:bCs/>
          <w:b/>
        </w:rPr>
        <w:t xml:space="preserve">Professional Satisfaction:</w:t>
      </w:r>
      <w:r>
        <w:t xml:space="preserve"> </w:t>
      </w:r>
      <w:r>
        <w:t xml:space="preserve">To measure the impact of the tool on the job satisfaction and burnout levels of participating Social Workers.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quasi-experimental design with a control group. The experiment will run for a period of six months. The setting is strictly limited to social service agencies located within the administrative boundaries of Germany Munich.</w:t>
      </w:r>
    </w:p>
    <w:bookmarkEnd w:id="22"/>
    <w:bookmarkStart w:id="23" w:name="participants"/>
    <w:p>
      <w:pPr>
        <w:pStyle w:val="Heading3"/>
      </w:pPr>
      <w:r>
        <w:t xml:space="preserve">3.2 Participants</w:t>
      </w:r>
    </w:p>
    <w:p>
      <w:pPr>
        <w:pStyle w:val="FirstParagraph"/>
      </w:pPr>
      <w:r>
        <w:t xml:space="preserve">The target population consists of licensed Social Workers employed by public and non-profit agencies in Munich.</w:t>
      </w:r>
    </w:p>
    <w:p>
      <w:pPr>
        <w:numPr>
          <w:ilvl w:val="0"/>
          <w:numId w:val="1002"/>
        </w:numPr>
        <w:pStyle w:val="Compact"/>
      </w:pPr>
      <w:r>
        <w:rPr>
          <w:bCs/>
          <w:b/>
        </w:rPr>
        <w:t xml:space="preserve">Experimental Group:</w:t>
      </w:r>
      <w:r>
        <w:t xml:space="preserve"> </w:t>
      </w:r>
      <w:r>
        <w:t xml:space="preserve">50 Social Workers who will be trained on and required to use the "MunichConnect" platform for all new cases.</w:t>
      </w:r>
    </w:p>
    <w:p>
      <w:pPr>
        <w:numPr>
          <w:ilvl w:val="0"/>
          <w:numId w:val="1002"/>
        </w:numPr>
        <w:pStyle w:val="Compact"/>
      </w:pPr>
      <w:r>
        <w:rPr>
          <w:bCs/>
          <w:b/>
        </w:rPr>
        <w:t xml:space="preserve">Control Group:</w:t>
      </w:r>
      <w:r>
        <w:t xml:space="preserve"> </w:t>
      </w:r>
      <w:r>
        <w:t xml:space="preserve">50 Social Workers who will continue to use the existing legacy systems and standard operating procedures.</w:t>
      </w:r>
    </w:p>
    <w:p>
      <w:pPr>
        <w:pStyle w:val="FirstParagraph"/>
      </w:pPr>
      <w:r>
        <w:t xml:space="preserve">Participants will be selected based on their years of experience (minimum 2 years) and their current caseload size to ensure comparability between groups.</w:t>
      </w:r>
    </w:p>
    <w:bookmarkEnd w:id="23"/>
    <w:bookmarkStart w:id="24" w:name="intervention"/>
    <w:p>
      <w:pPr>
        <w:pStyle w:val="Heading3"/>
      </w:pPr>
      <w:r>
        <w:t xml:space="preserve">3.3 Intervention</w:t>
      </w:r>
    </w:p>
    <w:p>
      <w:pPr>
        <w:pStyle w:val="FirstParagraph"/>
      </w:pPr>
      <w:r>
        <w:t xml:space="preserve">The intervention involves the deployment of the "MunichConnect" tablet-based application. This tool features automated documentation templates compliant with German social law, encrypted messaging for client communication, and a geolocation feature to help Social Workers navigate the Munich service network efficiently.</w:t>
      </w:r>
    </w:p>
    <w:bookmarkEnd w:id="24"/>
    <w:bookmarkEnd w:id="25"/>
    <w:bookmarkStart w:id="26" w:name="data-collection-procedures"/>
    <w:p>
      <w:pPr>
        <w:pStyle w:val="Heading2"/>
      </w:pPr>
      <w:r>
        <w:t xml:space="preserve">4. Data Collection Procedures</w:t>
      </w:r>
    </w:p>
    <w:p>
      <w:pPr>
        <w:pStyle w:val="FirstParagraph"/>
      </w:pPr>
      <w:r>
        <w:t xml:space="preserve">Data will be collected at three intervals: Baseline (Week 0), Mid-point (Week 12), and End-line (Week 24).</w:t>
      </w:r>
    </w:p>
    <w:p>
      <w:pPr>
        <w:numPr>
          <w:ilvl w:val="0"/>
          <w:numId w:val="1003"/>
        </w:numPr>
        <w:pStyle w:val="Compact"/>
      </w:pPr>
      <w:r>
        <w:rPr>
          <w:bCs/>
          <w:b/>
        </w:rPr>
        <w:t xml:space="preserve">Quantitative Data:</w:t>
      </w:r>
      <w:r>
        <w:t xml:space="preserve"> </w:t>
      </w:r>
      <w:r>
        <w:t xml:space="preserve">System logs will track time spent on administrative tasks versus direct client interaction. Case closure rates and referral success rates will be extracted from agency databases.</w:t>
      </w:r>
    </w:p>
    <w:p>
      <w:pPr>
        <w:numPr>
          <w:ilvl w:val="0"/>
          <w:numId w:val="1003"/>
        </w:numPr>
        <w:pStyle w:val="Compact"/>
      </w:pPr>
      <w:r>
        <w:rPr>
          <w:bCs/>
          <w:b/>
        </w:rPr>
        <w:t xml:space="preserve">Qualitative Data:</w:t>
      </w:r>
      <w:r>
        <w:t xml:space="preserve"> </w:t>
      </w:r>
      <w:r>
        <w:t xml:space="preserve">Semi-structured interviews will be conducted with a subset of Social Workers to gather insights on usability and perceived impact on their professional practice in the Munich context.</w:t>
      </w:r>
    </w:p>
    <w:p>
      <w:pPr>
        <w:numPr>
          <w:ilvl w:val="0"/>
          <w:numId w:val="1003"/>
        </w:numPr>
        <w:pStyle w:val="Compact"/>
      </w:pPr>
      <w:r>
        <w:rPr>
          <w:bCs/>
          <w:b/>
        </w:rPr>
        <w:t xml:space="preserve">Surveys:</w:t>
      </w:r>
      <w:r>
        <w:t xml:space="preserve"> </w:t>
      </w:r>
      <w:r>
        <w:t xml:space="preserve">Standardized burnout inventories (MBI-HSS) will be administered to all participants to monitor psychological well-being.</w:t>
      </w:r>
    </w:p>
    <w:bookmarkEnd w:id="26"/>
    <w:bookmarkStart w:id="27" w:name="ethical-considerations-and-data-privacy"/>
    <w:p>
      <w:pPr>
        <w:pStyle w:val="Heading2"/>
      </w:pPr>
      <w:r>
        <w:t xml:space="preserve">5. Ethical Considerations and Data Privacy</w:t>
      </w:r>
    </w:p>
    <w:p>
      <w:pPr>
        <w:pStyle w:val="FirstParagraph"/>
      </w:pPr>
      <w:r>
        <w:t xml:space="preserve">Given the sensitive nature of social work and the strict privacy laws in Germany, this protocol places paramount importance on data protection.</w:t>
      </w:r>
    </w:p>
    <w:p>
      <w:pPr>
        <w:numPr>
          <w:ilvl w:val="0"/>
          <w:numId w:val="1004"/>
        </w:numPr>
        <w:pStyle w:val="Compact"/>
      </w:pPr>
      <w:r>
        <w:rPr>
          <w:bCs/>
          <w:b/>
        </w:rPr>
        <w:t xml:space="preserve">Informed Consent:</w:t>
      </w:r>
      <w:r>
        <w:t xml:space="preserve"> </w:t>
      </w:r>
      <w:r>
        <w:t xml:space="preserve">All Social Workers must provide written informed consent before participation. They must be informed of their right to withdraw at any time without penalty.</w:t>
      </w:r>
    </w:p>
    <w:p>
      <w:pPr>
        <w:numPr>
          <w:ilvl w:val="0"/>
          <w:numId w:val="1004"/>
        </w:numPr>
        <w:pStyle w:val="Compact"/>
      </w:pPr>
      <w:r>
        <w:rPr>
          <w:bCs/>
          <w:b/>
        </w:rPr>
        <w:t xml:space="preserve">GDPR Compliance:</w:t>
      </w:r>
      <w:r>
        <w:t xml:space="preserve"> </w:t>
      </w:r>
      <w:r>
        <w:t xml:space="preserve">All client data generated during the experiment will be anonymized and pseudonymized in accordance with the GDPR and the Bavarian Data Protection Act. No personally identifiable information will leave the secure servers hosted within Germany.</w:t>
      </w:r>
    </w:p>
    <w:p>
      <w:pPr>
        <w:numPr>
          <w:ilvl w:val="0"/>
          <w:numId w:val="1004"/>
        </w:numPr>
        <w:pStyle w:val="Compact"/>
      </w:pPr>
      <w:r>
        <w:rPr>
          <w:bCs/>
          <w:b/>
        </w:rPr>
        <w:t xml:space="preserve">Client Welfare:</w:t>
      </w:r>
      <w:r>
        <w:t xml:space="preserve"> </w:t>
      </w:r>
      <w:r>
        <w:t xml:space="preserve">The experiment must not negatively impact the quality of care provided to clients. If the new tool is found to hinder service delivery, the protocol mandates an immediate suspension of the intervention.</w:t>
      </w:r>
    </w:p>
    <w:bookmarkEnd w:id="27"/>
    <w:bookmarkStart w:id="28" w:name="risk-management"/>
    <w:p>
      <w:pPr>
        <w:pStyle w:val="Heading2"/>
      </w:pPr>
      <w:r>
        <w:t xml:space="preserve">6. Risk Management</w:t>
      </w:r>
    </w:p>
    <w:p>
      <w:pPr>
        <w:pStyle w:val="FirstParagraph"/>
      </w:pPr>
      <w:r>
        <w:t xml:space="preserve">Potential risks include technical failures of the platform, resistance to change among Social Workers, and data security breaches.</w:t>
      </w:r>
    </w:p>
    <w:p>
      <w:pPr>
        <w:numPr>
          <w:ilvl w:val="0"/>
          <w:numId w:val="1005"/>
        </w:numPr>
        <w:pStyle w:val="Compact"/>
      </w:pPr>
      <w:r>
        <w:rPr>
          <w:bCs/>
          <w:b/>
        </w:rPr>
        <w:t xml:space="preserve">Mitigation:</w:t>
      </w:r>
      <w:r>
        <w:t xml:space="preserve"> </w:t>
      </w:r>
      <w:r>
        <w:t xml:space="preserve">A dedicated IT support team will be available during Munich business hours. Comprehensive training workshops will be held prior to the start of the experiment to ensure Social Workers are comfortable with the technology.</w:t>
      </w:r>
    </w:p>
    <w:bookmarkEnd w:id="28"/>
    <w:bookmarkStart w:id="29" w:name="timeline"/>
    <w:p>
      <w:pPr>
        <w:pStyle w:val="Heading2"/>
      </w:pPr>
      <w:r>
        <w:t xml:space="preserve">7. Timeline</w:t>
      </w:r>
    </w:p>
    <w:p>
      <w:pPr>
        <w:numPr>
          <w:ilvl w:val="0"/>
          <w:numId w:val="1006"/>
        </w:numPr>
        <w:pStyle w:val="Compact"/>
      </w:pPr>
      <w:r>
        <w:rPr>
          <w:bCs/>
          <w:b/>
        </w:rPr>
        <w:t xml:space="preserve">Month 1:</w:t>
      </w:r>
      <w:r>
        <w:t xml:space="preserve"> </w:t>
      </w:r>
      <w:r>
        <w:t xml:space="preserve">Recruitment of Social Workers and ethical review board approval.</w:t>
      </w:r>
    </w:p>
    <w:p>
      <w:pPr>
        <w:numPr>
          <w:ilvl w:val="0"/>
          <w:numId w:val="1006"/>
        </w:numPr>
        <w:pStyle w:val="Compact"/>
      </w:pPr>
      <w:r>
        <w:rPr>
          <w:bCs/>
          <w:b/>
        </w:rPr>
        <w:t xml:space="preserve">Month 2:</w:t>
      </w:r>
      <w:r>
        <w:t xml:space="preserve"> </w:t>
      </w:r>
      <w:r>
        <w:t xml:space="preserve">Training sessions and baseline data collection.</w:t>
      </w:r>
    </w:p>
    <w:p>
      <w:pPr>
        <w:numPr>
          <w:ilvl w:val="0"/>
          <w:numId w:val="1006"/>
        </w:numPr>
        <w:pStyle w:val="Compact"/>
      </w:pPr>
      <w:r>
        <w:rPr>
          <w:bCs/>
          <w:b/>
        </w:rPr>
        <w:t xml:space="preserve">Months 3-7:</w:t>
      </w:r>
      <w:r>
        <w:t xml:space="preserve"> </w:t>
      </w:r>
      <w:r>
        <w:t xml:space="preserve">Implementation of the experiment and mid-point data collection.</w:t>
      </w:r>
    </w:p>
    <w:p>
      <w:pPr>
        <w:numPr>
          <w:ilvl w:val="0"/>
          <w:numId w:val="1006"/>
        </w:numPr>
        <w:pStyle w:val="Compact"/>
      </w:pPr>
      <w:r>
        <w:rPr>
          <w:bCs/>
          <w:b/>
        </w:rPr>
        <w:t xml:space="preserve">Month 8:</w:t>
      </w:r>
      <w:r>
        <w:t xml:space="preserve"> </w:t>
      </w:r>
      <w:r>
        <w:t xml:space="preserve">End-line data collection and system decommissioning for the experimental group.</w:t>
      </w:r>
    </w:p>
    <w:p>
      <w:pPr>
        <w:numPr>
          <w:ilvl w:val="0"/>
          <w:numId w:val="1006"/>
        </w:numPr>
        <w:pStyle w:val="Compact"/>
      </w:pPr>
      <w:r>
        <w:rPr>
          <w:bCs/>
          <w:b/>
        </w:rPr>
        <w:t xml:space="preserve">Month 9:</w:t>
      </w:r>
      <w:r>
        <w:t xml:space="preserve"> </w:t>
      </w:r>
      <w:r>
        <w:t xml:space="preserve">Data analysis and reporting.</w:t>
      </w:r>
    </w:p>
    <w:bookmarkEnd w:id="29"/>
    <w:bookmarkStart w:id="30" w:name="conclusion"/>
    <w:p>
      <w:pPr>
        <w:pStyle w:val="Heading2"/>
      </w:pPr>
      <w:r>
        <w:t xml:space="preserve">8. Conclusion</w:t>
      </w:r>
    </w:p>
    <w:p>
      <w:pPr>
        <w:pStyle w:val="FirstParagraph"/>
      </w:pPr>
      <w:r>
        <w:t xml:space="preserve">This Experiment Protocol provides a rigorous framework for testing innovative support tools for Social Workers in Germany Munich. By focusing on efficiency, client outcomes, and professional well-being, this study aims to contribute valuable evidence to the field of social work administration. The findings will inform future policy decisions regarding digital transformation in the Munich social welfare sector.</w:t>
      </w:r>
    </w:p>
    <w:bookmarkEnd w:id="30"/>
    <w:p>
      <w:pPr>
        <w:pStyle w:val="BodyText"/>
      </w:pPr>
      <w:r>
        <w:rPr>
          <w:bCs/>
          <w:b/>
        </w:rPr>
        <w:t xml:space="preserve">Principal Investigator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Germany Munich</dc:title>
  <dc:creator/>
  <dc:language>en</dc:language>
  <cp:keywords/>
  <dcterms:created xsi:type="dcterms:W3CDTF">2026-10-10T06:12:27Z</dcterms:created>
  <dcterms:modified xsi:type="dcterms:W3CDTF">2026-10-10T06:12:27Z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