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Italy</w:t>
      </w:r>
      <w:r>
        <w:t xml:space="preserve"> </w:t>
      </w:r>
      <w:r>
        <w:t xml:space="preserve">Milan</w:t>
      </w:r>
    </w:p>
    <w:bookmarkStart w:id="20" w:name="X521b5ffcb7c7e3a29df424dc0ec7e0fb71524cb"/>
    <w:p>
      <w:pPr>
        <w:pStyle w:val="Heading1"/>
      </w:pPr>
      <w:r>
        <w:t xml:space="preserve">Experiment Protocol: Integrated Social Worker Intervention Model</w:t>
      </w:r>
    </w:p>
    <w:p>
      <w:pPr>
        <w:pStyle w:val="FirstParagraph"/>
      </w:pPr>
      <w:r>
        <w:rPr>
          <w:bCs/>
          <w:b/>
        </w:rPr>
        <w:t xml:space="preserve">Location:</w:t>
      </w:r>
      <w:r>
        <w:t xml:space="preserve"> </w:t>
      </w:r>
      <w:r>
        <w:t xml:space="preserve">Italy Milan (Comune di Milano)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 controlled study designed to evaluate the efficacy of a new, technology-enhanced intervention model for Social Workers operating within the complex urban environment of Italy Milan. As one of Europe's most dynamic economic hubs, Milan presents unique socio-economic challenges, including housing insecurity, labor market volatility, and the integration of diverse migrant populations.</w:t>
      </w:r>
    </w:p>
    <w:p>
      <w:pPr>
        <w:pStyle w:val="BodyText"/>
      </w:pPr>
      <w:r>
        <w:t xml:space="preserve">The current framework for social assistance in the Lombardy region, while robust, often faces bottlenecks due to high caseloads and fragmented data systems. This experiment aims to test whether a "Digital-First, Human-Centric" approach can improve service delivery outcomes without compromising the essential empathetic connection required in social work.</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impact of a centralized digital case management tool on the efficiency of Social Workers in Milan.</w:t>
      </w:r>
    </w:p>
    <w:p>
      <w:pPr>
        <w:numPr>
          <w:ilvl w:val="0"/>
          <w:numId w:val="1001"/>
        </w:numPr>
        <w:pStyle w:val="Compact"/>
      </w:pPr>
      <w:r>
        <w:t xml:space="preserve">To assess the correlation between reduced administrative burden and the quality of client engagement.</w:t>
      </w:r>
    </w:p>
    <w:p>
      <w:pPr>
        <w:numPr>
          <w:ilvl w:val="0"/>
          <w:numId w:val="1001"/>
        </w:numPr>
        <w:pStyle w:val="Compact"/>
      </w:pPr>
      <w:r>
        <w:t xml:space="preserve">To evaluate the satisfaction levels of both the Social Workers and the beneficiaries within the specific cultural context of Italy Milan.</w:t>
      </w:r>
    </w:p>
    <w:p>
      <w:pPr>
        <w:numPr>
          <w:ilvl w:val="0"/>
          <w:numId w:val="1001"/>
        </w:numPr>
        <w:pStyle w:val="Compact"/>
      </w:pPr>
      <w:r>
        <w:t xml:space="preserve">To determine if the new model reduces the time-to-intervention for vulnerable families in high-density districts.</w:t>
      </w:r>
    </w:p>
    <w:p>
      <w:pPr>
        <w:pStyle w:val="FirstParagraph"/>
      </w:pPr>
      <w:r>
        <w:t xml:space="preserve">3. Methodology</w:t>
      </w:r>
    </w:p>
    <w:p>
      <w:pPr>
        <w:pStyle w:val="BodyText"/>
      </w:pPr>
      <w:r>
        <w:t xml:space="preserve">This study will utilize a quasi-experimental design involving two groups of Social Workers employed by the municipal social services (Servizi Sociali) of the Comune di Milano.</w:t>
      </w:r>
    </w:p>
    <w:bookmarkStart w:id="21" w:name="study-population"/>
    <w:p>
      <w:pPr>
        <w:pStyle w:val="Heading3"/>
      </w:pPr>
      <w:r>
        <w:t xml:space="preserve">3.1 Study Population</w:t>
      </w:r>
    </w:p>
    <w:p>
      <w:pPr>
        <w:pStyle w:val="FirstParagraph"/>
      </w:pPr>
      <w:r>
        <w:t xml:space="preserve">The sample will consist of 60 licensed Social Workers currently active in the metropolitan area. Participants will be selected from three distinct municipal districts to ensure a representative mix of socio-economic demographics found in Italy Milan.</w:t>
      </w:r>
    </w:p>
    <w:bookmarkEnd w:id="21"/>
    <w:bookmarkStart w:id="22" w:name="intervention-group"/>
    <w:p>
      <w:pPr>
        <w:pStyle w:val="Heading3"/>
      </w:pPr>
      <w:r>
        <w:t xml:space="preserve">3.2 Intervention Group</w:t>
      </w:r>
    </w:p>
    <w:p>
      <w:pPr>
        <w:pStyle w:val="FirstParagraph"/>
      </w:pPr>
      <w:r>
        <w:t xml:space="preserve">The intervention group (n=30) will implement the new protocol. This includes the use of a secure, GDPR-compliant mobile application for real-time case updates, automated risk assessment algorithms, and integrated scheduling with local NGOs and healthcare providers. These Social Workers will undergo a two-week intensive training program focused on digital literacy and data privacy.</w:t>
      </w:r>
    </w:p>
    <w:bookmarkEnd w:id="22"/>
    <w:bookmarkStart w:id="23" w:name="control-group"/>
    <w:p>
      <w:pPr>
        <w:pStyle w:val="Heading3"/>
      </w:pPr>
      <w:r>
        <w:t xml:space="preserve">3.3 Control Group</w:t>
      </w:r>
    </w:p>
    <w:p>
      <w:pPr>
        <w:pStyle w:val="FirstParagraph"/>
      </w:pPr>
      <w:r>
        <w:t xml:space="preserve">The control group (n=30) will continue to operate under the standard operating procedures currently mandated by the Lombardy Regional Health Authority. They will utilize existing desktop-based legacy systems and manual filing processes.</w:t>
      </w:r>
    </w:p>
    <w:bookmarkEnd w:id="23"/>
    <w:p>
      <w:pPr>
        <w:pStyle w:val="BodyText"/>
      </w:pPr>
      <w:r>
        <w:t xml:space="preserve">4. Procedures</w:t>
      </w:r>
    </w:p>
    <w:p>
      <w:pPr>
        <w:pStyle w:val="BodyText"/>
      </w:pPr>
      <w:r>
        <w:t xml:space="preserve">The experiment will run for a duration of six months, divided into three phases:</w:t>
      </w:r>
    </w:p>
    <w:p>
      <w:pPr>
        <w:numPr>
          <w:ilvl w:val="0"/>
          <w:numId w:val="1002"/>
        </w:numPr>
        <w:pStyle w:val="Compact"/>
      </w:pPr>
      <w:r>
        <w:rPr>
          <w:bCs/>
          <w:b/>
        </w:rPr>
        <w:t xml:space="preserve">Phase 1: Baseline Assessment (Weeks 1-4):</w:t>
      </w:r>
      <w:r>
        <w:t xml:space="preserve"> </w:t>
      </w:r>
      <w:r>
        <w:t xml:space="preserve">Data collection on current caseloads, average response times, and worker stress levels for both groups. This establishes the baseline metrics for the Italy Milan context.</w:t>
      </w:r>
    </w:p>
    <w:p>
      <w:pPr>
        <w:numPr>
          <w:ilvl w:val="0"/>
          <w:numId w:val="1002"/>
        </w:numPr>
        <w:pStyle w:val="Compact"/>
      </w:pPr>
      <w:r>
        <w:rPr>
          <w:bCs/>
          <w:b/>
        </w:rPr>
        <w:t xml:space="preserve">Phase 2: Implementation (Weeks 5-20):</w:t>
      </w:r>
      <w:r>
        <w:t xml:space="preserve"> </w:t>
      </w:r>
      <w:r>
        <w:t xml:space="preserve">The intervention group begins using the new tools. Weekly check-ins will be conducted to troubleshoot technical issues and ensure protocol adherence. The control group continues standard practice.</w:t>
      </w:r>
    </w:p>
    <w:p>
      <w:pPr>
        <w:numPr>
          <w:ilvl w:val="0"/>
          <w:numId w:val="1002"/>
        </w:numPr>
        <w:pStyle w:val="Compact"/>
      </w:pPr>
      <w:r>
        <w:rPr>
          <w:bCs/>
          <w:b/>
        </w:rPr>
        <w:t xml:space="preserve">Phase 3: Post-Intervention Analysis (Weeks 21-24):</w:t>
      </w:r>
      <w:r>
        <w:t xml:space="preserve"> </w:t>
      </w:r>
      <w:r>
        <w:t xml:space="preserve">Final data collection, including client outcome surveys, worker feedback sessions, and quantitative analysis of case resolution rates.</w:t>
      </w:r>
    </w:p>
    <w:p>
      <w:pPr>
        <w:pStyle w:val="FirstParagraph"/>
      </w:pPr>
      <w:r>
        <w:t xml:space="preserve">5. Data Collection and Metrics</w:t>
      </w:r>
    </w:p>
    <w:p>
      <w:pPr>
        <w:pStyle w:val="BodyText"/>
      </w:pPr>
      <w:r>
        <w:t xml:space="preserve">Data will be collected through a combination of quantitative and qualitative methods:</w:t>
      </w:r>
    </w:p>
    <w:p>
      <w:pPr>
        <w:numPr>
          <w:ilvl w:val="0"/>
          <w:numId w:val="1003"/>
        </w:numPr>
        <w:pStyle w:val="Compact"/>
      </w:pPr>
      <w:r>
        <w:rPr>
          <w:bCs/>
          <w:b/>
        </w:rPr>
        <w:t xml:space="preserve">Quantitative Metrics:</w:t>
      </w:r>
      <w:r>
        <w:t xml:space="preserve"> </w:t>
      </w:r>
      <w:r>
        <w:t xml:space="preserve">Number of cases closed per month, average time from referral to first contact, reduction in paperwork hours, and system uptime.</w:t>
      </w:r>
    </w:p>
    <w:p>
      <w:pPr>
        <w:numPr>
          <w:ilvl w:val="0"/>
          <w:numId w:val="1003"/>
        </w:numPr>
        <w:pStyle w:val="Compact"/>
      </w:pPr>
      <w:r>
        <w:rPr>
          <w:bCs/>
          <w:b/>
        </w:rPr>
        <w:t xml:space="preserve">Qualitative Metrics:</w:t>
      </w:r>
      <w:r>
        <w:t xml:space="preserve"> </w:t>
      </w:r>
      <w:r>
        <w:t xml:space="preserve">Semi-structured interviews with Social Workers regarding their perception of autonomy and job satisfaction. Focus groups with clients to assess their experience of the service.</w:t>
      </w:r>
    </w:p>
    <w:p>
      <w:pPr>
        <w:pStyle w:val="FirstParagraph"/>
      </w:pPr>
      <w:r>
        <w:t xml:space="preserve">All data will be anonymized to comply with the General Data Protection Regulation (GDPR) and specific Italian privacy laws (D.Lgs. 196/2003).</w:t>
      </w:r>
    </w:p>
    <w:p>
      <w:pPr>
        <w:pStyle w:val="BodyText"/>
      </w:pPr>
      <w:r>
        <w:t xml:space="preserve">6. Ethical Considerations</w:t>
      </w:r>
    </w:p>
    <w:p>
      <w:pPr>
        <w:pStyle w:val="BodyText"/>
      </w:pPr>
      <w:r>
        <w:t xml:space="preserve">Given the sensitive nature of social work, ethical rigor is paramount. This protocol has been submitted for review by the local ethics committee in Milan. Key ethical safeguards include:</w:t>
      </w:r>
    </w:p>
    <w:p>
      <w:pPr>
        <w:numPr>
          <w:ilvl w:val="0"/>
          <w:numId w:val="1004"/>
        </w:numPr>
        <w:pStyle w:val="Compact"/>
      </w:pPr>
      <w:r>
        <w:rPr>
          <w:bCs/>
          <w:b/>
        </w:rPr>
        <w:t xml:space="preserve">Informed Consent:</w:t>
      </w:r>
      <w:r>
        <w:t xml:space="preserve"> </w:t>
      </w:r>
      <w:r>
        <w:t xml:space="preserve">All participating Social Workers and clients will provide written informed consent.</w:t>
      </w:r>
    </w:p>
    <w:p>
      <w:pPr>
        <w:numPr>
          <w:ilvl w:val="0"/>
          <w:numId w:val="1004"/>
        </w:numPr>
        <w:pStyle w:val="Compact"/>
      </w:pPr>
      <w:r>
        <w:rPr>
          <w:bCs/>
          <w:b/>
        </w:rPr>
        <w:t xml:space="preserve">Right to Withdraw:</w:t>
      </w:r>
      <w:r>
        <w:t xml:space="preserve"> </w:t>
      </w:r>
      <w:r>
        <w:t xml:space="preserve">Participants may withdraw from the study at any time without penalty or impact on their employment or service access.</w:t>
      </w:r>
    </w:p>
    <w:p>
      <w:pPr>
        <w:numPr>
          <w:ilvl w:val="0"/>
          <w:numId w:val="1004"/>
        </w:numPr>
        <w:pStyle w:val="Compact"/>
      </w:pPr>
      <w:r>
        <w:rPr>
          <w:bCs/>
          <w:b/>
        </w:rPr>
        <w:t xml:space="preserve">Confidentiality:</w:t>
      </w:r>
      <w:r>
        <w:t xml:space="preserve"> </w:t>
      </w:r>
      <w:r>
        <w:t xml:space="preserve">Strict data encryption protocols will be used. No personally identifiable information will be published in the final report.</w:t>
      </w:r>
    </w:p>
    <w:p>
      <w:pPr>
        <w:numPr>
          <w:ilvl w:val="0"/>
          <w:numId w:val="1004"/>
        </w:numPr>
        <w:pStyle w:val="Compact"/>
      </w:pPr>
      <w:r>
        <w:rPr>
          <w:bCs/>
          <w:b/>
        </w:rPr>
        <w:t xml:space="preserve">Non-Maleficence:</w:t>
      </w:r>
      <w:r>
        <w:t xml:space="preserve"> </w:t>
      </w:r>
      <w:r>
        <w:t xml:space="preserve">The control group will not be denied essential services; they will simply not have access to the experimental tools during the study period. However, if the intervention proves significantly beneficial, the tools will be rolled out to the control group immediately following the study.</w:t>
      </w:r>
    </w:p>
    <w:p>
      <w:pPr>
        <w:pStyle w:val="FirstParagraph"/>
      </w:pPr>
      <w:r>
        <w:t xml:space="preserve">7. Expected Outcomes and Impact</w:t>
      </w:r>
    </w:p>
    <w:p>
      <w:pPr>
        <w:pStyle w:val="BodyText"/>
      </w:pPr>
      <w:r>
        <w:t xml:space="preserve">It is hypothesized that the Social Workers in the intervention group will demonstrate a 20% increase in case processing efficiency and a measurable decrease in reported burnout symptoms compared to the control group. Furthermore, the experiment aims to provide the Comune di Milano with a scalable model for modernizing social services.</w:t>
      </w:r>
    </w:p>
    <w:p>
      <w:pPr>
        <w:pStyle w:val="BodyText"/>
      </w:pPr>
      <w:r>
        <w:t xml:space="preserve">Successful implementation of this protocol could serve as a benchmark for other major cities in Italy, demonstrating how technology can support, rather than replace, the human element of social work.</w:t>
      </w:r>
    </w:p>
    <w:p>
      <w:pPr>
        <w:pStyle w:val="BodyText"/>
      </w:pPr>
      <w:r>
        <w:t xml:space="preserve">8. Conclusion</w:t>
      </w:r>
    </w:p>
    <w:p>
      <w:pPr>
        <w:pStyle w:val="BodyText"/>
      </w:pPr>
      <w:r>
        <w:t xml:space="preserve">This Experiment Protocol represents a critical step toward optimizing social welfare delivery in Italy Milan. By rigorously testing the integration of digital tools within the workflow of Social Workers, we aim to enhance the quality of life for vulnerable citizens while supporting the professionals dedicated to their care.</w:t>
      </w:r>
    </w:p>
    <w:p>
      <w:pPr>
        <w:pStyle w:val="BodyText"/>
      </w:pPr>
      <w:r>
        <w:t xml:space="preserve">© 2023 Social Innovation Research Group,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Italy Milan</dc:title>
  <dc:creator/>
  <dc:language>en</dc:language>
  <cp:keywords/>
  <dcterms:created xsi:type="dcterms:W3CDTF">2026-10-10T03:20:37Z</dcterms:created>
  <dcterms:modified xsi:type="dcterms:W3CDTF">2026-10-10T03:20:37Z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