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Japan</w:t>
      </w:r>
      <w:r>
        <w:t xml:space="preserve"> </w:t>
      </w:r>
      <w:r>
        <w:t xml:space="preserve">Kyoto</w:t>
      </w:r>
    </w:p>
    <w:bookmarkStart w:id="30" w:name="Xaf74b9849b9fa114b5f4f9a254f242741233a0e"/>
    <w:p>
      <w:pPr>
        <w:pStyle w:val="Heading1"/>
      </w:pPr>
      <w:r>
        <w:t xml:space="preserve">Experiment Protocol: Community-Based Social Worker Intervention for Elderly Isolation in Japan Kyoto</w:t>
      </w:r>
    </w:p>
    <w:p>
      <w:pPr>
        <w:pStyle w:val="FirstParagraph"/>
      </w:pPr>
      <w:r>
        <w:rPr>
          <w:bCs/>
          <w:b/>
        </w:rPr>
        <w:t xml:space="preserve">Protocol ID:</w:t>
      </w:r>
      <w:r>
        <w:t xml:space="preserve"> </w:t>
      </w:r>
      <w:r>
        <w:t xml:space="preserve">KYO-SW-2024-001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Kyoto City, Kyoto Prefecture, Japan</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Kyoto University Graduate School of Medicine / Local Municipal Board of Social Welfare</w:t>
      </w:r>
    </w:p>
    <w:bookmarkStart w:id="20" w:name="introduction-and-background"/>
    <w:p>
      <w:pPr>
        <w:pStyle w:val="Heading2"/>
      </w:pPr>
      <w:r>
        <w:t xml:space="preserve">1. Introduction and Background</w:t>
      </w:r>
    </w:p>
    <w:p>
      <w:pPr>
        <w:pStyle w:val="FirstParagraph"/>
      </w:pPr>
      <w:r>
        <w:t xml:space="preserve">Japan faces a rapidly aging demographic, with Kyoto City exhibiting one of the highest proportions of elderly residents in the nation. This demographic shift has precipitated a rise in social isolation and loneliness among the elderly, particularly those living alone. The concept of</w:t>
      </w:r>
      <w:r>
        <w:t xml:space="preserve"> </w:t>
      </w:r>
      <w:r>
        <w:rPr>
          <w:iCs/>
          <w:i/>
        </w:rPr>
        <w:t xml:space="preserve">Kodokushi</w:t>
      </w:r>
      <w:r>
        <w:t xml:space="preserve"> </w:t>
      </w:r>
      <w:r>
        <w:t xml:space="preserve">(lonely death) has become a significant public health concern. While traditional medical interventions address physical ailments, there is a critical need to evaluate the efficacy of proactive, community-based Social Worker interventions in mitigating psychological distress and improving quality of life.</w:t>
      </w:r>
    </w:p>
    <w:p>
      <w:pPr>
        <w:pStyle w:val="BodyText"/>
      </w:pPr>
      <w:r>
        <w:t xml:space="preserve">This Experiment Protocol outlines a randomized controlled trial (RCT) designed to assess the impact of a structured, culturally adapted Social Worker engagement program on elderly residents in Kyoto. The study leverages the unique cultural fabric of Kyoto, emphasizing community cohesion and respect for elders, to test whether targeted social work can effectively reduce isolation metrics.</w:t>
      </w:r>
    </w:p>
    <w:bookmarkEnd w:id="20"/>
    <w:bookmarkStart w:id="21" w:name="objectives"/>
    <w:p>
      <w:pPr>
        <w:pStyle w:val="Heading2"/>
      </w:pPr>
      <w:r>
        <w:t xml:space="preserve">2. Objectives</w:t>
      </w:r>
    </w:p>
    <w:p>
      <w:pPr>
        <w:pStyle w:val="FirstParagraph"/>
      </w:pPr>
      <w:r>
        <w:t xml:space="preserve">The primary and secondary objectives of this experiment are as follows:</w:t>
      </w:r>
    </w:p>
    <w:p>
      <w:pPr>
        <w:numPr>
          <w:ilvl w:val="0"/>
          <w:numId w:val="1001"/>
        </w:numPr>
        <w:pStyle w:val="Compact"/>
      </w:pPr>
      <w:r>
        <w:rPr>
          <w:bCs/>
          <w:b/>
        </w:rPr>
        <w:t xml:space="preserve">Primary Objective:</w:t>
      </w:r>
      <w:r>
        <w:t xml:space="preserve"> </w:t>
      </w:r>
      <w:r>
        <w:t xml:space="preserve">To determine if regular visits and engagement by certified Social Workers significantly reduce scores on the UCLA Loneliness Scale among elderly participants in Kyoto compared to a control group receiving standard care.</w:t>
      </w:r>
    </w:p>
    <w:p>
      <w:pPr>
        <w:numPr>
          <w:ilvl w:val="0"/>
          <w:numId w:val="1001"/>
        </w:numPr>
        <w:pStyle w:val="Compact"/>
      </w:pPr>
      <w:r>
        <w:rPr>
          <w:bCs/>
          <w:b/>
        </w:rPr>
        <w:t xml:space="preserve">Secondary Objective:</w:t>
      </w:r>
      <w:r>
        <w:t xml:space="preserve"> </w:t>
      </w:r>
      <w:r>
        <w:t xml:space="preserve">To evaluate improvements in mental health indicators, specifically depression levels measured by the Geriatric Depression Scale (GDS).</w:t>
      </w:r>
    </w:p>
    <w:p>
      <w:pPr>
        <w:numPr>
          <w:ilvl w:val="0"/>
          <w:numId w:val="1001"/>
        </w:numPr>
        <w:pStyle w:val="Compact"/>
      </w:pPr>
      <w:r>
        <w:rPr>
          <w:bCs/>
          <w:b/>
        </w:rPr>
        <w:t xml:space="preserve">Tertiary Objective:</w:t>
      </w:r>
      <w:r>
        <w:t xml:space="preserve"> </w:t>
      </w:r>
      <w:r>
        <w:t xml:space="preserve">To assess the feasibility and cultural acceptability of integrating Social Worker-led digital literacy training into traditional home-visit models in Kyoto.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parallel-group, randomized controlled trial design. Participants will be recruited from three distinct wards in Kyoto City: Nakagyo-ku, Shimogyo-ku, and Sakyo-ku, representing a mix of urban density and residential tranquility. The trial duration is set for 12 months, comprising a 1-month baseline assessment, a 10-month intervention period, and a 1-month follow-up evaluation.</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Resident of Kyoto City for at least 5 years.</w:t>
      </w:r>
    </w:p>
    <w:p>
      <w:pPr>
        <w:numPr>
          <w:ilvl w:val="0"/>
          <w:numId w:val="1002"/>
        </w:numPr>
        <w:pStyle w:val="Compact"/>
      </w:pPr>
      <w:r>
        <w:t xml:space="preserve">Age 70 years or older.</w:t>
      </w:r>
    </w:p>
    <w:p>
      <w:pPr>
        <w:numPr>
          <w:ilvl w:val="0"/>
          <w:numId w:val="1002"/>
        </w:numPr>
        <w:pStyle w:val="Compact"/>
      </w:pPr>
      <w:r>
        <w:t xml:space="preserve">Living alone or with a spouse only.</w:t>
      </w:r>
    </w:p>
    <w:p>
      <w:pPr>
        <w:numPr>
          <w:ilvl w:val="0"/>
          <w:numId w:val="1002"/>
        </w:numPr>
        <w:pStyle w:val="Compact"/>
      </w:pPr>
      <w:r>
        <w:t xml:space="preserve">Ability to communicate in Japanese.</w:t>
      </w:r>
    </w:p>
    <w:p>
      <w:pPr>
        <w:numPr>
          <w:ilvl w:val="0"/>
          <w:numId w:val="1002"/>
        </w:numPr>
        <w:pStyle w:val="Compact"/>
      </w:pPr>
      <w:r>
        <w:t xml:space="preserve">Consent to participate provided by the participant or legal guardian.</w:t>
      </w:r>
    </w:p>
    <w:p>
      <w:pPr>
        <w:pStyle w:val="FirstParagraph"/>
      </w:pPr>
      <w:r>
        <w:rPr>
          <w:bCs/>
          <w:b/>
        </w:rPr>
        <w:t xml:space="preserve">Exclusion Criteria:</w:t>
      </w:r>
    </w:p>
    <w:p>
      <w:pPr>
        <w:numPr>
          <w:ilvl w:val="0"/>
          <w:numId w:val="1003"/>
        </w:numPr>
        <w:pStyle w:val="Compact"/>
      </w:pPr>
      <w:r>
        <w:t xml:space="preserve">Severe cognitive impairment (Mini-Mental State Examination score &lt; 18).</w:t>
      </w:r>
    </w:p>
    <w:p>
      <w:pPr>
        <w:numPr>
          <w:ilvl w:val="0"/>
          <w:numId w:val="1003"/>
        </w:numPr>
        <w:pStyle w:val="Compact"/>
      </w:pPr>
      <w:r>
        <w:t xml:space="preserve">Terminal illness with a life expectancy of less than 12 months.</w:t>
      </w:r>
    </w:p>
    <w:p>
      <w:pPr>
        <w:numPr>
          <w:ilvl w:val="0"/>
          <w:numId w:val="1003"/>
        </w:numPr>
        <w:pStyle w:val="Compact"/>
      </w:pPr>
      <w:r>
        <w:t xml:space="preserve">Current participation in another intensive social support program.</w:t>
      </w:r>
    </w:p>
    <w:bookmarkEnd w:id="23"/>
    <w:bookmarkStart w:id="24" w:name="intervention-protocol"/>
    <w:p>
      <w:pPr>
        <w:pStyle w:val="Heading3"/>
      </w:pPr>
      <w:r>
        <w:t xml:space="preserve">3.3 Intervention Protocol</w:t>
      </w:r>
    </w:p>
    <w:p>
      <w:pPr>
        <w:pStyle w:val="FirstParagraph"/>
      </w:pPr>
      <w:r>
        <w:t xml:space="preserve">The intervention group will receive services from licensed Social Workers trained in geriatric care and cultural sensitivity specific to Kyoto. The protocol includes:</w:t>
      </w:r>
    </w:p>
    <w:p>
      <w:pPr>
        <w:numPr>
          <w:ilvl w:val="0"/>
          <w:numId w:val="1004"/>
        </w:numPr>
        <w:pStyle w:val="Compact"/>
      </w:pPr>
      <w:r>
        <w:rPr>
          <w:bCs/>
          <w:b/>
        </w:rPr>
        <w:t xml:space="preserve">Bi-weekly Home Visits:</w:t>
      </w:r>
      <w:r>
        <w:t xml:space="preserve"> </w:t>
      </w:r>
      <w:r>
        <w:t xml:space="preserve">Social Workers will conduct 45-minute visits focusing on active listening, emotional support, and assessment of living conditions.</w:t>
      </w:r>
    </w:p>
    <w:p>
      <w:pPr>
        <w:numPr>
          <w:ilvl w:val="0"/>
          <w:numId w:val="1004"/>
        </w:numPr>
        <w:pStyle w:val="Compact"/>
      </w:pPr>
      <w:r>
        <w:rPr>
          <w:bCs/>
          <w:b/>
        </w:rPr>
        <w:t xml:space="preserve">Community Integration:</w:t>
      </w:r>
      <w:r>
        <w:t xml:space="preserve"> </w:t>
      </w:r>
      <w:r>
        <w:t xml:space="preserve">Facilitating participation in local Kyoto community events, such as tea ceremonies, temple visits, or neighborhood associations (</w:t>
      </w:r>
      <w:r>
        <w:rPr>
          <w:iCs/>
          <w:i/>
        </w:rPr>
        <w:t xml:space="preserve">Chonaikai</w:t>
      </w:r>
      <w:r>
        <w:t xml:space="preserve">).</w:t>
      </w:r>
    </w:p>
    <w:p>
      <w:pPr>
        <w:numPr>
          <w:ilvl w:val="0"/>
          <w:numId w:val="1004"/>
        </w:numPr>
        <w:pStyle w:val="Compact"/>
      </w:pPr>
      <w:r>
        <w:rPr>
          <w:bCs/>
          <w:b/>
        </w:rPr>
        <w:t xml:space="preserve">Digital Connectivity:</w:t>
      </w:r>
      <w:r>
        <w:t xml:space="preserve"> </w:t>
      </w:r>
      <w:r>
        <w:t xml:space="preserve">Monthly sessions to assist with smartphone usage, enabling video calls with family and access to telemedicine services.</w:t>
      </w:r>
    </w:p>
    <w:p>
      <w:pPr>
        <w:pStyle w:val="FirstParagraph"/>
      </w:pPr>
      <w:r>
        <w:t xml:space="preserve">The control group will continue to receive standard municipal welfare services, which typically involve quarterly check-ins and access to emergency hotlines, without the intensive Social Worker engagement.</w:t>
      </w:r>
    </w:p>
    <w:bookmarkEnd w:id="24"/>
    <w:bookmarkEnd w:id="25"/>
    <w:bookmarkStart w:id="26" w:name="data-collection-and-analysis"/>
    <w:p>
      <w:pPr>
        <w:pStyle w:val="Heading2"/>
      </w:pPr>
      <w:r>
        <w:t xml:space="preserve">4. Data Collection and Analysis</w:t>
      </w:r>
    </w:p>
    <w:p>
      <w:pPr>
        <w:pStyle w:val="FirstParagraph"/>
      </w:pPr>
      <w:r>
        <w:t xml:space="preserve">Data will be collected at baseline (T0), mid-intervention (T6), and post-intervention (T12). Primary outcome measures include the UCLA Loneliness Scale (Version 3) and the Geriatric Depression Scale (GDS-15). Secondary measures include the WHO-5 Well-Being Index and a qualitative assessment of participant satisfaction.</w:t>
      </w:r>
    </w:p>
    <w:p>
      <w:pPr>
        <w:pStyle w:val="BodyText"/>
      </w:pPr>
      <w:r>
        <w:t xml:space="preserve">Statistical analysis will be performed using intention-to-treat (ITT) principles. Mixed-effects models will be used to analyze changes in loneliness and depression scores over time, controlling for covariates such as age, gender, income level, and baseline health status. Qualitative data from interviews will be analyzed using thematic analysis to identify cultural nuances in the Social Worker-client relationship.</w:t>
      </w:r>
    </w:p>
    <w:bookmarkEnd w:id="26"/>
    <w:bookmarkStart w:id="27" w:name="ethical-considerations"/>
    <w:p>
      <w:pPr>
        <w:pStyle w:val="Heading2"/>
      </w:pPr>
      <w:r>
        <w:t xml:space="preserve">5. Ethical Considerations</w:t>
      </w:r>
    </w:p>
    <w:p>
      <w:pPr>
        <w:pStyle w:val="FirstParagraph"/>
      </w:pPr>
      <w:r>
        <w:t xml:space="preserve">This Experiment Protocol has been reviewed and approved by the Ethics Committee of Kyoto University. The study adheres to the Declaration of Helsinki and Japanese regulations regarding clinical research. Informed consent will be obtained from all participants in Japanese, ensuring they understand their right to withdraw at any time without penalty.</w:t>
      </w:r>
    </w:p>
    <w:p>
      <w:pPr>
        <w:pStyle w:val="BodyText"/>
      </w:pPr>
      <w:r>
        <w:t xml:space="preserve">Confidentiality will be strictly maintained. All data will be anonymized and stored on secure servers within Japan. Social Workers will be trained to recognize signs of abuse or neglect and will follow mandatory reporting procedures established by the Kyoto City Board of Social Welfare.</w:t>
      </w:r>
    </w:p>
    <w:bookmarkEnd w:id="27"/>
    <w:bookmarkStart w:id="28" w:name="risk-management"/>
    <w:p>
      <w:pPr>
        <w:pStyle w:val="Heading2"/>
      </w:pPr>
      <w:r>
        <w:t xml:space="preserve">6. Risk Management</w:t>
      </w:r>
    </w:p>
    <w:p>
      <w:pPr>
        <w:pStyle w:val="FirstParagraph"/>
      </w:pPr>
      <w:r>
        <w:t xml:space="preserve">Potential risks include emotional distress triggered by discussions of isolation or past trauma. Social Workers will be equipped with protocols to manage such situations, including referral to psychiatric services if necessary. Additionally, the physical safety of Social Workers during home visits will be ensured through check-in procedures and GPS tracking.</w:t>
      </w:r>
    </w:p>
    <w:bookmarkEnd w:id="28"/>
    <w:bookmarkStart w:id="29" w:name="dissemination-of-results"/>
    <w:p>
      <w:pPr>
        <w:pStyle w:val="Heading2"/>
      </w:pPr>
      <w:r>
        <w:t xml:space="preserve">7. Dissemination of Results</w:t>
      </w:r>
    </w:p>
    <w:p>
      <w:pPr>
        <w:pStyle w:val="FirstParagraph"/>
      </w:pPr>
      <w:r>
        <w:t xml:space="preserve">Findings will be disseminated through peer-reviewed journals, conferences on geriatric social work, and reports to the Kyoto City Government. The goal is to inform policy and potentially scale the Social Worker intervention model across Japan to address the growing challenge of elderly isolation.</w:t>
      </w:r>
    </w:p>
    <w:p>
      <w:pPr>
        <w:pStyle w:val="BodyText"/>
      </w:pPr>
      <w:r>
        <w:rPr>
          <w:bCs/>
          <w:b/>
        </w:rPr>
        <w:t xml:space="preserve">Note:</w:t>
      </w:r>
      <w:r>
        <w:t xml:space="preserve"> </w:t>
      </w:r>
      <w:r>
        <w:t xml:space="preserve">This document is a formal Experiment Protocol. Any deviations from the outlined procedures must be documented and approved by the Principal Investigator and the Ethics Committee prior to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Japan Kyoto</dc:title>
  <dc:creator/>
  <dc:language>en</dc:language>
  <cp:keywords/>
  <dcterms:created xsi:type="dcterms:W3CDTF">2026-10-10T04:04:28Z</dcterms:created>
  <dcterms:modified xsi:type="dcterms:W3CDTF">2026-10-10T04:04:28Z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