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Japan</w:t>
      </w:r>
      <w:r>
        <w:t xml:space="preserve"> </w:t>
      </w:r>
      <w:r>
        <w:t xml:space="preserve">Osaka</w:t>
      </w:r>
    </w:p>
    <w:bookmarkStart w:id="20" w:name="X4c498e08d6d201e89bf0cf4628c6df543a651bd"/>
    <w:p>
      <w:pPr>
        <w:pStyle w:val="Heading1"/>
      </w:pPr>
      <w:r>
        <w:t xml:space="preserve">Experiment Protocol: Community-Based Social Worker Intervention</w:t>
      </w:r>
    </w:p>
    <w:p>
      <w:pPr>
        <w:pStyle w:val="FirstParagraph"/>
      </w:pPr>
      <w:r>
        <w:rPr>
          <w:bCs/>
          <w:b/>
        </w:rPr>
        <w:t xml:space="preserve">Location:</w:t>
      </w:r>
      <w:r>
        <w:t xml:space="preserve"> </w:t>
      </w:r>
      <w:r>
        <w:t xml:space="preserve">Japan Osaka Prefecture</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 structured study designed to evaluate the efficacy of specialized Social Worker interventions within the urban environment of Japan Osaka. Osaka, as a major economic and cultural hub, presents unique demographic challenges, including an aging population, increasing social isolation among youth, and the complexities of integrating diverse migrant communities.</w:t>
      </w:r>
    </w:p>
    <w:p>
      <w:pPr>
        <w:pStyle w:val="BodyText"/>
      </w:pPr>
      <w:r>
        <w:t xml:space="preserve">The role of the Social Worker in this context is critical. Unlike Western models, the Japanese social work framework often intersects deeply with community-based support systems (such as the</w:t>
      </w:r>
      <w:r>
        <w:t xml:space="preserve"> </w:t>
      </w:r>
      <w:r>
        <w:rPr>
          <w:iCs/>
          <w:i/>
        </w:rPr>
        <w:t xml:space="preserve">Kodomo no Ie</w:t>
      </w:r>
      <w:r>
        <w:t xml:space="preserve"> </w:t>
      </w:r>
      <w:r>
        <w:t xml:space="preserve">or community centers). This experiment seeks to quantify the impact of proactive, culturally adapted social work strategies on vulnerable populations in Osaka's wards, specifically focusing on mental health resilience and community integration.</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assess the effectiveness of a new "Hybrid Support Model" employed by Social Workers in Osaka, combining traditional face-to-face counseling with digital communication tools.</w:t>
      </w:r>
    </w:p>
    <w:p>
      <w:pPr>
        <w:numPr>
          <w:ilvl w:val="0"/>
          <w:numId w:val="1001"/>
        </w:numPr>
        <w:pStyle w:val="Compact"/>
      </w:pPr>
      <w:r>
        <w:t xml:space="preserve">To measure changes in social isolation metrics among elderly residents in Osaka's Naniwa and Chuo wards.</w:t>
      </w:r>
    </w:p>
    <w:p>
      <w:pPr>
        <w:numPr>
          <w:ilvl w:val="0"/>
          <w:numId w:val="1001"/>
        </w:numPr>
        <w:pStyle w:val="Compact"/>
      </w:pPr>
      <w:r>
        <w:t xml:space="preserve">To evaluate the satisfaction levels of clients receiving services from Social Workers trained in cross-cultural competency.</w:t>
      </w:r>
    </w:p>
    <w:p>
      <w:pPr>
        <w:numPr>
          <w:ilvl w:val="0"/>
          <w:numId w:val="1001"/>
        </w:numPr>
        <w:pStyle w:val="Compact"/>
      </w:pPr>
      <w:r>
        <w:t xml:space="preserve">To provide data-driven recommendations for the Osaka Prefectural Government regarding social welfare policy adjustments.</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will utilize a quasi-experimental design with a control group. The experiment will run for a period of six months. Participants will be recruited from existing social welfare registries in Osaka.</w:t>
      </w:r>
    </w:p>
    <w:bookmarkEnd w:id="23"/>
    <w:bookmarkStart w:id="24" w:name="participants"/>
    <w:p>
      <w:pPr>
        <w:pStyle w:val="Heading3"/>
      </w:pPr>
      <w:r>
        <w:t xml:space="preserve">3.2 Participants</w:t>
      </w:r>
    </w:p>
    <w:p>
      <w:pPr>
        <w:pStyle w:val="FirstParagraph"/>
      </w:pPr>
      <w:r>
        <w:t xml:space="preserve">The target population includes individuals aged 65 and older, as well as young adults (18–35) experiencing employment instability. Inclusion criteria require residency in Osaka for at least one year. Exclusion criteria include severe cognitive impairment that prevents consent.</w:t>
      </w:r>
    </w:p>
    <w:bookmarkEnd w:id="24"/>
    <w:bookmarkStart w:id="25" w:name="intervention-protocol"/>
    <w:p>
      <w:pPr>
        <w:pStyle w:val="Heading3"/>
      </w:pPr>
      <w:r>
        <w:t xml:space="preserve">3.3 Intervention Protocol</w:t>
      </w:r>
    </w:p>
    <w:p>
      <w:pPr>
        <w:pStyle w:val="FirstParagraph"/>
      </w:pPr>
      <w:r>
        <w:t xml:space="preserve">The experimental group will receive services from Social Workers implementing the "Hybrid Support Model." This involves:</w:t>
      </w:r>
    </w:p>
    <w:p>
      <w:pPr>
        <w:numPr>
          <w:ilvl w:val="0"/>
          <w:numId w:val="1002"/>
        </w:numPr>
        <w:pStyle w:val="Compact"/>
      </w:pPr>
      <w:r>
        <w:rPr>
          <w:bCs/>
          <w:b/>
        </w:rPr>
        <w:t xml:space="preserve">Weekly Check-ins:</w:t>
      </w:r>
      <w:r>
        <w:t xml:space="preserve"> </w:t>
      </w:r>
      <w:r>
        <w:t xml:space="preserve">Mandatory weekly meetings, either in person at local community centers or via secure video conferencing.</w:t>
      </w:r>
    </w:p>
    <w:p>
      <w:pPr>
        <w:numPr>
          <w:ilvl w:val="0"/>
          <w:numId w:val="1002"/>
        </w:numPr>
        <w:pStyle w:val="Compact"/>
      </w:pPr>
      <w:r>
        <w:rPr>
          <w:bCs/>
          <w:b/>
        </w:rPr>
        <w:t xml:space="preserve">Resource Navigation:</w:t>
      </w:r>
      <w:r>
        <w:t xml:space="preserve"> </w:t>
      </w:r>
      <w:r>
        <w:t xml:space="preserve">Social Workers will actively assist clients in navigating Osaka's specific municipal services, including healthcare and housing subsidies.</w:t>
      </w:r>
    </w:p>
    <w:p>
      <w:pPr>
        <w:numPr>
          <w:ilvl w:val="0"/>
          <w:numId w:val="1002"/>
        </w:numPr>
        <w:pStyle w:val="Compact"/>
      </w:pPr>
      <w:r>
        <w:rPr>
          <w:bCs/>
          <w:b/>
        </w:rPr>
        <w:t xml:space="preserve">Community Linkage:</w:t>
      </w:r>
      <w:r>
        <w:t xml:space="preserve"> </w:t>
      </w:r>
      <w:r>
        <w:t xml:space="preserve">Facilitating participation in local Osaka community events to foster social bonds.</w:t>
      </w:r>
    </w:p>
    <w:p>
      <w:pPr>
        <w:pStyle w:val="FirstParagraph"/>
      </w:pPr>
      <w:r>
        <w:t xml:space="preserve">The control group will continue to receive standard care as defined by the current Osaka Prefecture social welfare guidelines, which typically involves monthly check-ins and reactive support.</w:t>
      </w:r>
    </w:p>
    <w:bookmarkEnd w:id="25"/>
    <w:bookmarkEnd w:id="26"/>
    <w:bookmarkStart w:id="29" w:name="data-collection-and-metrics"/>
    <w:p>
      <w:pPr>
        <w:pStyle w:val="Heading2"/>
      </w:pPr>
      <w:r>
        <w:t xml:space="preserve">4. Data Collection and Metrics</w:t>
      </w:r>
    </w:p>
    <w:p>
      <w:pPr>
        <w:pStyle w:val="FirstParagraph"/>
      </w:pPr>
      <w:r>
        <w:t xml:space="preserve">Data will be collected at three intervals: baseline (Week 0), mid-point (Week 12), and conclusion (Week 24).</w:t>
      </w:r>
    </w:p>
    <w:bookmarkStart w:id="27" w:name="quantitative-metrics"/>
    <w:p>
      <w:pPr>
        <w:pStyle w:val="Heading3"/>
      </w:pPr>
      <w:r>
        <w:t xml:space="preserve">4.1 Quantitative Metrics</w:t>
      </w:r>
    </w:p>
    <w:p>
      <w:pPr>
        <w:numPr>
          <w:ilvl w:val="0"/>
          <w:numId w:val="1003"/>
        </w:numPr>
        <w:pStyle w:val="Compact"/>
      </w:pPr>
      <w:r>
        <w:rPr>
          <w:bCs/>
          <w:b/>
        </w:rPr>
        <w:t xml:space="preserve">UCLA Loneliness Scale:</w:t>
      </w:r>
      <w:r>
        <w:t xml:space="preserve"> </w:t>
      </w:r>
      <w:r>
        <w:t xml:space="preserve">Adapted for the Japanese context to measure perceived isolation.</w:t>
      </w:r>
    </w:p>
    <w:p>
      <w:pPr>
        <w:numPr>
          <w:ilvl w:val="0"/>
          <w:numId w:val="1003"/>
        </w:numPr>
        <w:pStyle w:val="Compact"/>
      </w:pPr>
      <w:r>
        <w:rPr>
          <w:bCs/>
          <w:b/>
        </w:rPr>
        <w:t xml:space="preserve">General Health Questionnaire (GHQ-12):</w:t>
      </w:r>
      <w:r>
        <w:t xml:space="preserve"> </w:t>
      </w:r>
      <w:r>
        <w:t xml:space="preserve">To assess mental health status.</w:t>
      </w:r>
    </w:p>
    <w:p>
      <w:pPr>
        <w:numPr>
          <w:ilvl w:val="0"/>
          <w:numId w:val="1003"/>
        </w:numPr>
        <w:pStyle w:val="Compact"/>
      </w:pPr>
      <w:r>
        <w:rPr>
          <w:bCs/>
          <w:b/>
        </w:rPr>
        <w:t xml:space="preserve">Service Utilization Rates:</w:t>
      </w:r>
      <w:r>
        <w:t xml:space="preserve"> </w:t>
      </w:r>
      <w:r>
        <w:t xml:space="preserve">Tracking the frequency of hospital visits and emergency service usage.</w:t>
      </w:r>
    </w:p>
    <w:bookmarkEnd w:id="27"/>
    <w:bookmarkStart w:id="28" w:name="qualitative-metrics"/>
    <w:p>
      <w:pPr>
        <w:pStyle w:val="Heading3"/>
      </w:pPr>
      <w:r>
        <w:t xml:space="preserve">4.2 Qualitative Metrics</w:t>
      </w:r>
    </w:p>
    <w:p>
      <w:pPr>
        <w:numPr>
          <w:ilvl w:val="0"/>
          <w:numId w:val="1004"/>
        </w:numPr>
        <w:pStyle w:val="Compact"/>
      </w:pPr>
      <w:r>
        <w:rPr>
          <w:bCs/>
          <w:b/>
        </w:rPr>
        <w:t xml:space="preserve">Client Interviews:</w:t>
      </w:r>
      <w:r>
        <w:t xml:space="preserve"> </w:t>
      </w:r>
      <w:r>
        <w:t xml:space="preserve">Semi-structured interviews conducted by independent researchers to gauge trust in the Social Worker and perceived quality of care.</w:t>
      </w:r>
    </w:p>
    <w:p>
      <w:pPr>
        <w:numPr>
          <w:ilvl w:val="0"/>
          <w:numId w:val="1004"/>
        </w:numPr>
        <w:pStyle w:val="Compact"/>
      </w:pPr>
      <w:r>
        <w:rPr>
          <w:bCs/>
          <w:b/>
        </w:rPr>
        <w:t xml:space="preserve">Social Worker Logs:</w:t>
      </w:r>
      <w:r>
        <w:t xml:space="preserve"> </w:t>
      </w:r>
      <w:r>
        <w:t xml:space="preserve">Detailed records kept by the Social Workers regarding case complexity and intervention outcomes.</w:t>
      </w:r>
    </w:p>
    <w:bookmarkEnd w:id="28"/>
    <w:bookmarkEnd w:id="29"/>
    <w:bookmarkStart w:id="30" w:name="ethical-considerations"/>
    <w:p>
      <w:pPr>
        <w:pStyle w:val="Heading2"/>
      </w:pPr>
      <w:r>
        <w:t xml:space="preserve">5. Ethical Considerations</w:t>
      </w:r>
    </w:p>
    <w:p>
      <w:pPr>
        <w:pStyle w:val="FirstParagraph"/>
      </w:pPr>
      <w:r>
        <w:t xml:space="preserve">This experiment strictly adheres to the ethical guidelines set forth by the Japanese Society of Social Work and the Declaration of Helsinki.</w:t>
      </w:r>
    </w:p>
    <w:p>
      <w:pPr>
        <w:numPr>
          <w:ilvl w:val="0"/>
          <w:numId w:val="1005"/>
        </w:numPr>
        <w:pStyle w:val="Compact"/>
      </w:pPr>
      <w:r>
        <w:rPr>
          <w:bCs/>
          <w:b/>
        </w:rPr>
        <w:t xml:space="preserve">Informed Consent:</w:t>
      </w:r>
      <w:r>
        <w:t xml:space="preserve"> </w:t>
      </w:r>
      <w:r>
        <w:t xml:space="preserve">All participants must provide written informed consent in Japanese. For participants with limited Japanese proficiency, translated materials will be provided.</w:t>
      </w:r>
    </w:p>
    <w:p>
      <w:pPr>
        <w:numPr>
          <w:ilvl w:val="0"/>
          <w:numId w:val="1005"/>
        </w:numPr>
        <w:pStyle w:val="Compact"/>
      </w:pPr>
      <w:r>
        <w:rPr>
          <w:bCs/>
          <w:b/>
        </w:rPr>
        <w:t xml:space="preserve">Confidentiality:</w:t>
      </w:r>
      <w:r>
        <w:t xml:space="preserve"> </w:t>
      </w:r>
      <w:r>
        <w:t xml:space="preserve">All data will be anonymized. Personal identifiers will be stored separately from experimental data in secure servers located within Japan to comply with the Act on the Protection of Personal Information (APPI).</w:t>
      </w:r>
    </w:p>
    <w:p>
      <w:pPr>
        <w:numPr>
          <w:ilvl w:val="0"/>
          <w:numId w:val="1005"/>
        </w:numPr>
        <w:pStyle w:val="Compact"/>
      </w:pPr>
      <w:r>
        <w:rPr>
          <w:bCs/>
          <w:b/>
        </w:rPr>
        <w:t xml:space="preserve">Right to Withdraw:</w:t>
      </w:r>
      <w:r>
        <w:t xml:space="preserve"> </w:t>
      </w:r>
      <w:r>
        <w:t xml:space="preserve">Participants may withdraw from the experiment at any time without penalty or loss of standard social services.</w:t>
      </w:r>
    </w:p>
    <w:bookmarkEnd w:id="30"/>
    <w:bookmarkStart w:id="31" w:name="risk-management"/>
    <w:p>
      <w:pPr>
        <w:pStyle w:val="Heading2"/>
      </w:pPr>
      <w:r>
        <w:t xml:space="preserve">6. Risk Management</w:t>
      </w:r>
    </w:p>
    <w:p>
      <w:pPr>
        <w:pStyle w:val="FirstParagraph"/>
      </w:pPr>
      <w:r>
        <w:t xml:space="preserve">Potential risks include emotional distress during interviews or feelings of abandonment if the intervention is perceived as intrusive. To mitigate these risks:</w:t>
      </w:r>
    </w:p>
    <w:p>
      <w:pPr>
        <w:numPr>
          <w:ilvl w:val="0"/>
          <w:numId w:val="1006"/>
        </w:numPr>
        <w:pStyle w:val="Compact"/>
      </w:pPr>
      <w:r>
        <w:t xml:space="preserve">Trained Social Workers will monitor participants for signs of distress.</w:t>
      </w:r>
    </w:p>
    <w:p>
      <w:pPr>
        <w:numPr>
          <w:ilvl w:val="0"/>
          <w:numId w:val="1006"/>
        </w:numPr>
        <w:pStyle w:val="Compact"/>
      </w:pPr>
      <w:r>
        <w:t xml:space="preserve">A crisis intervention protocol is in place, linking participants to Osaka's 24-hour mental health support lines if necessary.</w:t>
      </w:r>
    </w:p>
    <w:p>
      <w:pPr>
        <w:numPr>
          <w:ilvl w:val="0"/>
          <w:numId w:val="1006"/>
        </w:numPr>
        <w:pStyle w:val="Compact"/>
      </w:pPr>
      <w:r>
        <w:t xml:space="preserve">Regular supervision sessions for Social Workers will be held to prevent burnout and ensure ethical practice.</w:t>
      </w:r>
    </w:p>
    <w:bookmarkEnd w:id="31"/>
    <w:bookmarkStart w:id="32" w:name="timeline"/>
    <w:p>
      <w:pPr>
        <w:pStyle w:val="Heading2"/>
      </w:pPr>
      <w:r>
        <w:t xml:space="preserve">7. Timeline</w:t>
      </w:r>
    </w:p>
    <w:p>
      <w:pPr>
        <w:numPr>
          <w:ilvl w:val="0"/>
          <w:numId w:val="1007"/>
        </w:numPr>
        <w:pStyle w:val="Compact"/>
      </w:pPr>
      <w:r>
        <w:rPr>
          <w:bCs/>
          <w:b/>
        </w:rPr>
        <w:t xml:space="preserve">Month 1:</w:t>
      </w:r>
      <w:r>
        <w:t xml:space="preserve"> </w:t>
      </w:r>
      <w:r>
        <w:t xml:space="preserve">Recruitment, training of Social Workers, and baseline data collection.</w:t>
      </w:r>
    </w:p>
    <w:p>
      <w:pPr>
        <w:numPr>
          <w:ilvl w:val="0"/>
          <w:numId w:val="1007"/>
        </w:numPr>
        <w:pStyle w:val="Compact"/>
      </w:pPr>
      <w:r>
        <w:rPr>
          <w:bCs/>
          <w:b/>
        </w:rPr>
        <w:t xml:space="preserve">Months 2–5:</w:t>
      </w:r>
      <w:r>
        <w:t xml:space="preserve"> </w:t>
      </w:r>
      <w:r>
        <w:t xml:space="preserve">Implementation of the intervention and ongoing data collection.</w:t>
      </w:r>
    </w:p>
    <w:p>
      <w:pPr>
        <w:numPr>
          <w:ilvl w:val="0"/>
          <w:numId w:val="1007"/>
        </w:numPr>
        <w:pStyle w:val="Compact"/>
      </w:pPr>
      <w:r>
        <w:rPr>
          <w:bCs/>
          <w:b/>
        </w:rPr>
        <w:t xml:space="preserve">Month 6:</w:t>
      </w:r>
      <w:r>
        <w:t xml:space="preserve"> </w:t>
      </w:r>
      <w:r>
        <w:t xml:space="preserve">Final data collection, analysis, and reporting.</w:t>
      </w:r>
    </w:p>
    <w:bookmarkEnd w:id="32"/>
    <w:bookmarkStart w:id="33" w:name="conclusion"/>
    <w:p>
      <w:pPr>
        <w:pStyle w:val="Heading2"/>
      </w:pPr>
      <w:r>
        <w:t xml:space="preserve">8. Conclusion</w:t>
      </w:r>
    </w:p>
    <w:p>
      <w:pPr>
        <w:pStyle w:val="FirstParagraph"/>
      </w:pPr>
      <w:r>
        <w:t xml:space="preserve">This Experiment Protocol aims to provide robust evidence on how Social Workers can optimize their practices in the unique socio-cultural landscape of Japan Osaka. By focusing on measurable outcomes and ethical rigor, this study hopes to contribute to the broader field of social work and improve the quality of life for vulnerable residents in Osaka.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Japan Osaka</dc:title>
  <dc:creator/>
  <dc:language>en</dc:language>
  <cp:keywords/>
  <dcterms:created xsi:type="dcterms:W3CDTF">2026-10-10T02:13:55Z</dcterms:created>
  <dcterms:modified xsi:type="dcterms:W3CDTF">2026-10-10T02:13:55Z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