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Kenya</w:t>
      </w:r>
      <w:r>
        <w:t xml:space="preserve"> </w:t>
      </w:r>
      <w:r>
        <w:t xml:space="preserve">Nairobi</w:t>
      </w:r>
    </w:p>
    <w:bookmarkStart w:id="32" w:name="Xc86dbb54b41308dc06ae7fdf69ca9a03ed3d1d8"/>
    <w:p>
      <w:pPr>
        <w:pStyle w:val="Heading1"/>
      </w:pPr>
      <w:r>
        <w:t xml:space="preserve">Experiment Protocol: Community-Based Social Worker Intervention in Kenya Nairobi</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Evaluating the Efficacy of Integrated Social Worker Support Systems in Informal Settlements of Kenya Nairobi.</w:t>
      </w:r>
    </w:p>
    <w:p>
      <w:pPr>
        <w:pStyle w:val="BodyText"/>
      </w:pPr>
      <w:r>
        <w:rPr>
          <w:bCs/>
          <w:b/>
        </w:rPr>
        <w:t xml:space="preserve">Protocol ID:</w:t>
      </w:r>
      <w:r>
        <w:t xml:space="preserve"> </w:t>
      </w:r>
      <w:r>
        <w:t xml:space="preserve">SN-KEN-SW-2024-001</w:t>
      </w:r>
    </w:p>
    <w:p>
      <w:pPr>
        <w:pStyle w:val="BodyText"/>
      </w:pPr>
      <w:r>
        <w:rPr>
          <w:bCs/>
          <w:b/>
        </w:rPr>
        <w:t xml:space="preserve">Location:</w:t>
      </w:r>
      <w:r>
        <w:t xml:space="preserve"> </w:t>
      </w:r>
      <w:r>
        <w:t xml:space="preserve">Kenya Nairobi (Specifically targeting high-density informal settlements such as Kibera and Mathare).</w:t>
      </w:r>
    </w:p>
    <w:p>
      <w:pPr>
        <w:pStyle w:val="BodyText"/>
      </w:pPr>
      <w:r>
        <w:rPr>
          <w:bCs/>
          <w:b/>
        </w:rPr>
        <w:t xml:space="preserve">Primary Investigator:</w:t>
      </w:r>
      <w:r>
        <w:t xml:space="preserve"> </w:t>
      </w:r>
      <w:r>
        <w:t xml:space="preserve">[Name Redacted]</w:t>
      </w:r>
    </w:p>
    <w:p>
      <w:pPr>
        <w:pStyle w:val="BodyText"/>
      </w:pPr>
      <w:r>
        <w:rPr>
          <w:bCs/>
          <w:b/>
        </w:rPr>
        <w:t xml:space="preserve">Affiliation:</w:t>
      </w:r>
      <w:r>
        <w:t xml:space="preserve"> </w:t>
      </w:r>
      <w:r>
        <w:t xml:space="preserve">[Institution Name]</w:t>
      </w:r>
    </w:p>
    <w:bookmarkEnd w:id="20"/>
    <w:bookmarkStart w:id="21" w:name="introduction-and-background"/>
    <w:p>
      <w:pPr>
        <w:pStyle w:val="Heading2"/>
      </w:pPr>
      <w:r>
        <w:t xml:space="preserve">2. Introduction and Background</w:t>
      </w:r>
    </w:p>
    <w:p>
      <w:pPr>
        <w:pStyle w:val="FirstParagraph"/>
      </w:pPr>
      <w:r>
        <w:t xml:space="preserve">The urban landscape of Kenya Nairobi presents unique challenges regarding social welfare, economic disparity, and community cohesion. As the capital city, Nairobi hosts a significant population residing in informal settlements where access to formal support systems is often limited. In this context, the role of the Social Worker is pivotal. However, there is a need for empirical data to determine which intervention models yield the best outcomes for vulnerable populations.</w:t>
      </w:r>
    </w:p>
    <w:p>
      <w:pPr>
        <w:pStyle w:val="BodyText"/>
      </w:pPr>
      <w:r>
        <w:t xml:space="preserve">This Experiment Protocol outlines a structured study to assess the impact of a specialized Social Worker intervention program. The study aims to bridge the gap between theoretical social work practices and the practical realities faced by residents in Kenya Nairobi. By focusing on the specific socio-economic dynamics of Nairobi, this protocol ensures that the findings are culturally relevant and practically applicable.</w:t>
      </w:r>
    </w:p>
    <w:bookmarkEnd w:id="21"/>
    <w:bookmarkStart w:id="22" w:name="objectives"/>
    <w:p>
      <w:pPr>
        <w:pStyle w:val="Heading2"/>
      </w:pPr>
      <w:r>
        <w:t xml:space="preserve">3. Objectives</w:t>
      </w:r>
    </w:p>
    <w:p>
      <w:pPr>
        <w:pStyle w:val="FirstParagraph"/>
      </w:pPr>
      <w:r>
        <w:t xml:space="preserve">The primary objective of this experiment is to evaluate the effectiveness of a community-embedded Social Worker model in improving psychosocial well-being and resource access among residents in Kenya Nairobi.</w:t>
      </w:r>
    </w:p>
    <w:p>
      <w:pPr>
        <w:pStyle w:val="BodyText"/>
      </w:pPr>
      <w:r>
        <w:t xml:space="preserve">Specific objectives include:</w:t>
      </w:r>
    </w:p>
    <w:p>
      <w:pPr>
        <w:numPr>
          <w:ilvl w:val="0"/>
          <w:numId w:val="1001"/>
        </w:numPr>
        <w:pStyle w:val="Compact"/>
      </w:pPr>
      <w:r>
        <w:t xml:space="preserve">To measure changes in mental health indicators among participants receiving direct Social Worker support.</w:t>
      </w:r>
    </w:p>
    <w:p>
      <w:pPr>
        <w:numPr>
          <w:ilvl w:val="0"/>
          <w:numId w:val="1001"/>
        </w:numPr>
        <w:pStyle w:val="Compact"/>
      </w:pPr>
      <w:r>
        <w:t xml:space="preserve">To assess the improvement in access to essential services (healthcare, education, legal aid) facilitated by the Social Worker.</w:t>
      </w:r>
    </w:p>
    <w:p>
      <w:pPr>
        <w:numPr>
          <w:ilvl w:val="0"/>
          <w:numId w:val="1001"/>
        </w:numPr>
        <w:pStyle w:val="Compact"/>
      </w:pPr>
      <w:r>
        <w:t xml:space="preserve">To analyze the cost-effectiveness of deploying Social Workers in high-density areas of Kenya Nairobi compared to traditional top-down aid models.</w:t>
      </w:r>
    </w:p>
    <w:p>
      <w:pPr>
        <w:numPr>
          <w:ilvl w:val="0"/>
          <w:numId w:val="1001"/>
        </w:numPr>
        <w:pStyle w:val="Compact"/>
      </w:pPr>
      <w:r>
        <w:t xml:space="preserve">To identify cultural barriers and facilitators affecting the Social Worker-client relationship in the Nairobi context.</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study will utilize a randomized controlled trial (RCT) design. The experiment will be conducted over a period of 12 months. Participants will be randomly assigned to either an intervention group or a control group.</w:t>
      </w:r>
    </w:p>
    <w:bookmarkEnd w:id="23"/>
    <w:bookmarkStart w:id="24" w:name="study-population-and-setting"/>
    <w:p>
      <w:pPr>
        <w:pStyle w:val="Heading3"/>
      </w:pPr>
      <w:r>
        <w:t xml:space="preserve">4.2 Study Population and Setting</w:t>
      </w:r>
    </w:p>
    <w:p>
      <w:pPr>
        <w:pStyle w:val="FirstParagraph"/>
      </w:pPr>
      <w:r>
        <w:t xml:space="preserve">The study will be conducted in selected blocks within informal settlements in Kenya Nairobi. The target population includes households with at least one vulnerable member (e.g., single parents, persons with disabilities, or youth at risk of exploitation).</w:t>
      </w:r>
    </w:p>
    <w:p>
      <w:pPr>
        <w:pStyle w:val="BodyText"/>
      </w:pPr>
      <w:r>
        <w:rPr>
          <w:bCs/>
          <w:b/>
        </w:rPr>
        <w:t xml:space="preserve">Inclusion Criteria:</w:t>
      </w:r>
    </w:p>
    <w:p>
      <w:pPr>
        <w:numPr>
          <w:ilvl w:val="0"/>
          <w:numId w:val="1002"/>
        </w:numPr>
        <w:pStyle w:val="Compact"/>
      </w:pPr>
      <w:r>
        <w:t xml:space="preserve">Resident of the designated area in Kenya Nairobi for at least 12 months.</w:t>
      </w:r>
    </w:p>
    <w:p>
      <w:pPr>
        <w:numPr>
          <w:ilvl w:val="0"/>
          <w:numId w:val="1002"/>
        </w:numPr>
        <w:pStyle w:val="Compact"/>
      </w:pPr>
      <w:r>
        <w:t xml:space="preserve">Age 18 years or older (or legal guardian of a minor).</w:t>
      </w:r>
    </w:p>
    <w:p>
      <w:pPr>
        <w:numPr>
          <w:ilvl w:val="0"/>
          <w:numId w:val="1002"/>
        </w:numPr>
        <w:pStyle w:val="Compact"/>
      </w:pPr>
      <w:r>
        <w:t xml:space="preserve">Willingness to provide informed consent.</w:t>
      </w:r>
    </w:p>
    <w:bookmarkEnd w:id="24"/>
    <w:bookmarkStart w:id="25" w:name="intervention-protocol"/>
    <w:p>
      <w:pPr>
        <w:pStyle w:val="Heading3"/>
      </w:pPr>
      <w:r>
        <w:t xml:space="preserve">4.3 Intervention Protocol</w:t>
      </w:r>
    </w:p>
    <w:p>
      <w:pPr>
        <w:pStyle w:val="FirstParagraph"/>
      </w:pPr>
      <w:r>
        <w:t xml:space="preserve">The intervention group will receive services from a dedicated Social Worker trained in community-based participatory methods. The Social Worker will:</w:t>
      </w:r>
    </w:p>
    <w:p>
      <w:pPr>
        <w:numPr>
          <w:ilvl w:val="0"/>
          <w:numId w:val="1003"/>
        </w:numPr>
        <w:pStyle w:val="Compact"/>
      </w:pPr>
      <w:r>
        <w:t xml:space="preserve">Conduct weekly home visits or community center meetings.</w:t>
      </w:r>
    </w:p>
    <w:p>
      <w:pPr>
        <w:numPr>
          <w:ilvl w:val="0"/>
          <w:numId w:val="1003"/>
        </w:numPr>
        <w:pStyle w:val="Compact"/>
      </w:pPr>
      <w:r>
        <w:t xml:space="preserve">Provide psychosocial counseling tailored to the local context of Kenya Nairobi.</w:t>
      </w:r>
    </w:p>
    <w:p>
      <w:pPr>
        <w:numPr>
          <w:ilvl w:val="0"/>
          <w:numId w:val="1003"/>
        </w:numPr>
        <w:pStyle w:val="Compact"/>
      </w:pPr>
      <w:r>
        <w:t xml:space="preserve">Facilitate connections to local NGOs, government services, and micro-finance opportunities.</w:t>
      </w:r>
    </w:p>
    <w:p>
      <w:pPr>
        <w:numPr>
          <w:ilvl w:val="0"/>
          <w:numId w:val="1003"/>
        </w:numPr>
        <w:pStyle w:val="Compact"/>
      </w:pPr>
      <w:r>
        <w:t xml:space="preserve">Organize community support groups to foster social cohesion.</w:t>
      </w:r>
    </w:p>
    <w:p>
      <w:pPr>
        <w:pStyle w:val="FirstParagraph"/>
      </w:pPr>
      <w:r>
        <w:t xml:space="preserve">The control group will receive standard community information services but no direct, personalized Social Worker intervention.</w:t>
      </w:r>
    </w:p>
    <w:bookmarkEnd w:id="25"/>
    <w:bookmarkEnd w:id="26"/>
    <w:bookmarkStart w:id="27" w:name="data-collection-and-analysis"/>
    <w:p>
      <w:pPr>
        <w:pStyle w:val="Heading2"/>
      </w:pPr>
      <w:r>
        <w:t xml:space="preserve">5. Data Collection and Analysis</w:t>
      </w:r>
    </w:p>
    <w:p>
      <w:pPr>
        <w:pStyle w:val="FirstParagraph"/>
      </w:pPr>
      <w:r>
        <w:t xml:space="preserve">Data will be collected at baseline, 6 months, and 12 months. Instruments will include standardized psychometric scales for mental health, structured interviews regarding service access, and qualitative focus group discussions.</w:t>
      </w:r>
    </w:p>
    <w:p>
      <w:pPr>
        <w:pStyle w:val="BodyText"/>
      </w:pPr>
      <w:r>
        <w:t xml:space="preserve">Quantitative data will be analyzed using statistical software to compare outcomes between the intervention and control groups. Qualitative data will be thematically analyzed to understand the lived experiences of participants interacting with the Social Worker in Kenya Nairobi.</w:t>
      </w:r>
    </w:p>
    <w:bookmarkEnd w:id="27"/>
    <w:bookmarkStart w:id="28" w:name="ethical-considerations"/>
    <w:p>
      <w:pPr>
        <w:pStyle w:val="Heading2"/>
      </w:pPr>
      <w:r>
        <w:t xml:space="preserve">6. Ethical Considerations</w:t>
      </w:r>
    </w:p>
    <w:p>
      <w:pPr>
        <w:pStyle w:val="FirstParagraph"/>
      </w:pPr>
      <w:r>
        <w:t xml:space="preserve">This Experiment Protocol adheres strictly to ethical guidelines for research involving human subjects. Approval will be sought from the National Commission for Science, Technology and Innovation (NACOSTI) in Kenya and the institutional review board.</w:t>
      </w:r>
    </w:p>
    <w:p>
      <w:pPr>
        <w:pStyle w:val="BodyText"/>
      </w:pPr>
      <w:r>
        <w:rPr>
          <w:bCs/>
          <w:b/>
        </w:rPr>
        <w:t xml:space="preserve">Key Ethical Safeguards:</w:t>
      </w:r>
    </w:p>
    <w:p>
      <w:pPr>
        <w:numPr>
          <w:ilvl w:val="0"/>
          <w:numId w:val="1004"/>
        </w:numPr>
        <w:pStyle w:val="Compact"/>
      </w:pPr>
      <w:r>
        <w:rPr>
          <w:bCs/>
          <w:b/>
        </w:rPr>
        <w:t xml:space="preserve">Informed Consent:</w:t>
      </w:r>
      <w:r>
        <w:t xml:space="preserve"> </w:t>
      </w:r>
      <w:r>
        <w:t xml:space="preserve">All participants will provide written or thumb-printed informed consent after the protocol is explained in their preferred language (English, Swahili, or Sheng).</w:t>
      </w:r>
    </w:p>
    <w:p>
      <w:pPr>
        <w:numPr>
          <w:ilvl w:val="0"/>
          <w:numId w:val="1004"/>
        </w:numPr>
        <w:pStyle w:val="Compact"/>
      </w:pPr>
      <w:r>
        <w:rPr>
          <w:bCs/>
          <w:b/>
        </w:rPr>
        <w:t xml:space="preserve">Confidentiality:</w:t>
      </w:r>
      <w:r>
        <w:t xml:space="preserve"> </w:t>
      </w:r>
      <w:r>
        <w:t xml:space="preserve">Data regarding the Social Worker interactions will be anonymized to protect participant privacy.</w:t>
      </w:r>
    </w:p>
    <w:p>
      <w:pPr>
        <w:numPr>
          <w:ilvl w:val="0"/>
          <w:numId w:val="1004"/>
        </w:numPr>
        <w:pStyle w:val="Compact"/>
      </w:pPr>
      <w:r>
        <w:rPr>
          <w:bCs/>
          <w:b/>
        </w:rPr>
        <w:t xml:space="preserve">Do No Harm:</w:t>
      </w:r>
      <w:r>
        <w:t xml:space="preserve"> </w:t>
      </w:r>
      <w:r>
        <w:t xml:space="preserve">The Social Worker will be trained to recognize signs of severe distress and refer participants to specialized medical or legal services immediately.</w:t>
      </w:r>
    </w:p>
    <w:p>
      <w:pPr>
        <w:numPr>
          <w:ilvl w:val="0"/>
          <w:numId w:val="1004"/>
        </w:numPr>
        <w:pStyle w:val="Compact"/>
      </w:pPr>
      <w:r>
        <w:rPr>
          <w:bCs/>
          <w:b/>
        </w:rPr>
        <w:t xml:space="preserve">Equity:</w:t>
      </w:r>
      <w:r>
        <w:t xml:space="preserve"> </w:t>
      </w:r>
      <w:r>
        <w:t xml:space="preserve">Upon completion of the study, the control group will be offered access to the Social Worker services if the intervention is proven effective.</w:t>
      </w:r>
    </w:p>
    <w:bookmarkEnd w:id="28"/>
    <w:bookmarkStart w:id="29" w:name="risk-management"/>
    <w:p>
      <w:pPr>
        <w:pStyle w:val="Heading2"/>
      </w:pPr>
      <w:r>
        <w:t xml:space="preserve">7. Risk Management</w:t>
      </w:r>
    </w:p>
    <w:p>
      <w:pPr>
        <w:pStyle w:val="FirstParagraph"/>
      </w:pPr>
      <w:r>
        <w:t xml:space="preserve">Conducting fieldwork in Kenya Nairobi involves specific risks, including security concerns in certain informal settlements and potential stigma associated with mental health interventions.</w:t>
      </w:r>
    </w:p>
    <w:p>
      <w:pPr>
        <w:pStyle w:val="BodyText"/>
      </w:pPr>
      <w:r>
        <w:t xml:space="preserve">Mitigation strategies include:</w:t>
      </w:r>
    </w:p>
    <w:p>
      <w:pPr>
        <w:numPr>
          <w:ilvl w:val="0"/>
          <w:numId w:val="1005"/>
        </w:numPr>
        <w:pStyle w:val="Compact"/>
      </w:pPr>
      <w:r>
        <w:t xml:space="preserve">Engaging local community leaders and elders to endorse the study.</w:t>
      </w:r>
    </w:p>
    <w:p>
      <w:pPr>
        <w:numPr>
          <w:ilvl w:val="0"/>
          <w:numId w:val="1005"/>
        </w:numPr>
        <w:pStyle w:val="Compact"/>
      </w:pPr>
      <w:r>
        <w:t xml:space="preserve">Ensuring the Social Worker is a local resident or has deep cultural competence regarding Nairobi's informal settlements.</w:t>
      </w:r>
    </w:p>
    <w:p>
      <w:pPr>
        <w:numPr>
          <w:ilvl w:val="0"/>
          <w:numId w:val="1005"/>
        </w:numPr>
        <w:pStyle w:val="Compact"/>
      </w:pPr>
      <w:r>
        <w:t xml:space="preserve">Implementing strict safety protocols for field staff.</w:t>
      </w:r>
    </w:p>
    <w:bookmarkEnd w:id="29"/>
    <w:bookmarkStart w:id="30" w:name="dissemination-of-results"/>
    <w:p>
      <w:pPr>
        <w:pStyle w:val="Heading2"/>
      </w:pPr>
      <w:r>
        <w:t xml:space="preserve">8. Dissemination of Results</w:t>
      </w:r>
    </w:p>
    <w:p>
      <w:pPr>
        <w:pStyle w:val="FirstParagraph"/>
      </w:pPr>
      <w:r>
        <w:t xml:space="preserve">Findings from this Experiment Protocol will be disseminated through academic publications, policy briefs for the Kenyan Ministry of Health and Social Protection, and community feedback sessions in Kenya Nairobi. The goal is to inform national policy on the deployment of Social Workers in urban informal settlements.</w:t>
      </w:r>
    </w:p>
    <w:bookmarkEnd w:id="30"/>
    <w:bookmarkStart w:id="31" w:name="conclusion"/>
    <w:p>
      <w:pPr>
        <w:pStyle w:val="Heading2"/>
      </w:pPr>
      <w:r>
        <w:t xml:space="preserve">9. Conclusion</w:t>
      </w:r>
    </w:p>
    <w:p>
      <w:pPr>
        <w:pStyle w:val="FirstParagraph"/>
      </w:pPr>
      <w:r>
        <w:t xml:space="preserve">This protocol provides a rigorous framework for evaluating the impact of Social Worker interventions in the complex urban environment of Kenya Nairobi. By systematically measuring outcomes, this study aims to contribute valuable evidence to the field of social work, ultimately enhancing the quality of life for vulnerable populations in Nairobi.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Kenya Nairobi</dc:title>
  <dc:creator/>
  <dc:language>en</dc:language>
  <cp:keywords/>
  <dcterms:created xsi:type="dcterms:W3CDTF">2026-10-10T03:41:33Z</dcterms:created>
  <dcterms:modified xsi:type="dcterms:W3CDTF">2026-10-10T03:41:33Z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