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Social</w:t>
      </w:r>
      <w:r>
        <w:t xml:space="preserve"> </w:t>
      </w:r>
      <w:r>
        <w:t xml:space="preserve">Worker</w:t>
      </w:r>
      <w:r>
        <w:t xml:space="preserve"> </w:t>
      </w:r>
      <w:r>
        <w:t xml:space="preserve">Intervention</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a539e940bc9adb8a31d55e383909366f6e2834d"/>
    <w:p>
      <w:pPr>
        <w:pStyle w:val="Heading1"/>
      </w:pPr>
      <w:r>
        <w:t xml:space="preserve">Experiment Protocol: Community-Based Social Worker Intervention Model</w:t>
      </w:r>
    </w:p>
    <w:p>
      <w:pPr>
        <w:pStyle w:val="FirstParagraph"/>
      </w:pPr>
      <w:r>
        <w:rPr>
          <w:bCs/>
          <w:b/>
        </w:rPr>
        <w:t xml:space="preserve">Location:</w:t>
      </w:r>
      <w:r>
        <w:t xml:space="preserve"> </w:t>
      </w:r>
      <w:r>
        <w:t xml:space="preserve">Malaysia Kuala Lumpur</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p>
      <w:pPr>
        <w:pStyle w:val="BodyText"/>
      </w:pPr>
      <w:r>
        <w:t xml:space="preserve">1. Introduction and Background</w:t>
      </w:r>
    </w:p>
    <w:p>
      <w:pPr>
        <w:pStyle w:val="BodyText"/>
      </w:pPr>
      <w:r>
        <w:t xml:space="preserve">This Experiment Protocol outlines the methodology for evaluating a new community-based intervention model designed for Social Worker professionals operating within the urban landscape of Malaysia Kuala Lumpur. Kuala Lumpur, as the capital and economic hub of Malaysia, presents unique socio-economic challenges, including income disparity, rapid urbanization, and diverse cultural demographics. The role of the Social Worker in this context is critical for maintaining social cohesion and providing essential support to vulnerable populations.</w:t>
      </w:r>
    </w:p>
    <w:p>
      <w:pPr>
        <w:pStyle w:val="BodyText"/>
      </w:pPr>
      <w:r>
        <w:t xml:space="preserve">The primary objective of this experiment is to assess the efficacy of a "Digital-First, Community-Centric" approach compared to traditional case management methods. By implementing this protocol in Malaysia Kuala Lumpur, we aim to gather empirical data on how modernized workflows impact client outcomes, specifically focusing on low-income families and migrant workers in high-density residential areas.</w:t>
      </w:r>
    </w:p>
    <w:p>
      <w:pPr>
        <w:pStyle w:val="BodyText"/>
      </w:pPr>
      <w:r>
        <w:t xml:space="preserve">2. Objectives</w:t>
      </w:r>
    </w:p>
    <w:p>
      <w:pPr>
        <w:pStyle w:val="BodyText"/>
      </w:pPr>
      <w:r>
        <w:t xml:space="preserve">The specific objectives of this experiment are as follows:</w:t>
      </w:r>
    </w:p>
    <w:p>
      <w:pPr>
        <w:numPr>
          <w:ilvl w:val="0"/>
          <w:numId w:val="1001"/>
        </w:numPr>
        <w:pStyle w:val="Compact"/>
      </w:pPr>
      <w:r>
        <w:t xml:space="preserve">To evaluate the effectiveness of a hybrid intervention model utilized by Social Worker practitioners in reducing case resolution time.</w:t>
      </w:r>
    </w:p>
    <w:p>
      <w:pPr>
        <w:numPr>
          <w:ilvl w:val="0"/>
          <w:numId w:val="1001"/>
        </w:numPr>
        <w:pStyle w:val="Compact"/>
      </w:pPr>
      <w:r>
        <w:t xml:space="preserve">To measure the impact of culturally sensitive digital tools on client engagement rates within the diverse population of Malaysia Kuala Lumpur.</w:t>
      </w:r>
    </w:p>
    <w:p>
      <w:pPr>
        <w:numPr>
          <w:ilvl w:val="0"/>
          <w:numId w:val="1001"/>
        </w:numPr>
        <w:pStyle w:val="Compact"/>
      </w:pPr>
      <w:r>
        <w:t xml:space="preserve">To assess the professional well-being and burnout levels of Social Worker participants when utilizing streamlined administrative technologies.</w:t>
      </w:r>
    </w:p>
    <w:p>
      <w:pPr>
        <w:numPr>
          <w:ilvl w:val="0"/>
          <w:numId w:val="1001"/>
        </w:numPr>
        <w:pStyle w:val="Compact"/>
      </w:pPr>
      <w:r>
        <w:t xml:space="preserve">To identify barriers to service delivery specific to the urban infrastructure and regulatory environment of Malaysia.</w:t>
      </w:r>
    </w:p>
    <w:p>
      <w:pPr>
        <w:pStyle w:val="FirstParagraph"/>
      </w:pPr>
      <w:r>
        <w:t xml:space="preserve">3. Methodology</w:t>
      </w:r>
    </w:p>
    <w:p>
      <w:pPr>
        <w:pStyle w:val="BodyText"/>
      </w:pPr>
      <w:r>
        <w:t xml:space="preserve">This study will employ a quasi-experimental design involving two groups of Social Worker practitioners based in selected districts of Malaysia Kuala Lumpur, such as Brickfields, Chow Kit, and Wangsa Maju. These areas were chosen due to their high concentration of vulnerable demographics and existing social service infrastructure.</w:t>
      </w:r>
    </w:p>
    <w:p>
      <w:pPr>
        <w:pStyle w:val="BodyText"/>
      </w:pPr>
      <w:r>
        <w:rPr>
          <w:bCs/>
          <w:b/>
        </w:rPr>
        <w:t xml:space="preserve">3.1 Participants:</w:t>
      </w:r>
      <w:r>
        <w:t xml:space="preserve"> </w:t>
      </w:r>
      <w:r>
        <w:t xml:space="preserve">The study will recruit 40 licensed Social Worker professionals registered with the Malaysian Social Workers Board. Participants will be randomly assigned to either the Control Group (n=20) or the Intervention Group (n=20). All participants must have a minimum of two years of experience working within the Kuala Lumpur municipality.</w:t>
      </w:r>
    </w:p>
    <w:p>
      <w:pPr>
        <w:pStyle w:val="BodyText"/>
      </w:pPr>
      <w:r>
        <w:rPr>
          <w:bCs/>
          <w:b/>
        </w:rPr>
        <w:t xml:space="preserve">3.2 Intervention:</w:t>
      </w:r>
      <w:r>
        <w:t xml:space="preserve"> </w:t>
      </w:r>
      <w:r>
        <w:t xml:space="preserve">The Intervention Group will be trained to use a proprietary mobile application designed for case management, resource mapping, and secure client communication. This tool is tailored to the linguistic and cultural context of Malaysia, supporting Bahasa Malaysia, English, Mandarin, and Tamil. The Control Group will continue to use standard paper-based records and existing government portals without additional technological support.</w:t>
      </w:r>
    </w:p>
    <w:p>
      <w:pPr>
        <w:pStyle w:val="BodyText"/>
      </w:pPr>
      <w:r>
        <w:rPr>
          <w:bCs/>
          <w:b/>
        </w:rPr>
        <w:t xml:space="preserve">3.3 Duration:</w:t>
      </w:r>
      <w:r>
        <w:t xml:space="preserve"> </w:t>
      </w:r>
      <w:r>
        <w:t xml:space="preserve">The experiment will run for a period of six months, allowing sufficient time to observe changes in case outcomes and practitioner behavior.</w:t>
      </w:r>
    </w:p>
    <w:p>
      <w:pPr>
        <w:pStyle w:val="BodyText"/>
      </w:pPr>
      <w:r>
        <w:t xml:space="preserve">4. Data Collection Procedures</w:t>
      </w:r>
    </w:p>
    <w:p>
      <w:pPr>
        <w:pStyle w:val="BodyText"/>
      </w:pPr>
      <w:r>
        <w:t xml:space="preserve">Data will be collected at three intervals: Baseline (Month 0), Mid-point (Month 3), and End-line (Month 6). The following metrics will be tracked:</w:t>
      </w:r>
    </w:p>
    <w:p>
      <w:pPr>
        <w:numPr>
          <w:ilvl w:val="0"/>
          <w:numId w:val="1002"/>
        </w:numPr>
        <w:pStyle w:val="Compact"/>
      </w:pPr>
      <w:r>
        <w:rPr>
          <w:bCs/>
          <w:b/>
        </w:rPr>
        <w:t xml:space="preserve">Case Resolution Rate:</w:t>
      </w:r>
      <w:r>
        <w:t xml:space="preserve"> </w:t>
      </w:r>
      <w:r>
        <w:t xml:space="preserve">The number of cases successfully closed or transitioned to long-term support per Social Worker.</w:t>
      </w:r>
    </w:p>
    <w:p>
      <w:pPr>
        <w:numPr>
          <w:ilvl w:val="0"/>
          <w:numId w:val="1002"/>
        </w:numPr>
        <w:pStyle w:val="Compact"/>
      </w:pPr>
      <w:r>
        <w:rPr>
          <w:bCs/>
          <w:b/>
        </w:rPr>
        <w:t xml:space="preserve">Client Satisfaction:</w:t>
      </w:r>
      <w:r>
        <w:t xml:space="preserve"> </w:t>
      </w:r>
      <w:r>
        <w:t xml:space="preserve">Measured via anonymous surveys distributed to clients in Malaysia Kuala Lumpur, assessing accessibility, empathy, and clarity of communication.</w:t>
      </w:r>
    </w:p>
    <w:p>
      <w:pPr>
        <w:numPr>
          <w:ilvl w:val="0"/>
          <w:numId w:val="1002"/>
        </w:numPr>
        <w:pStyle w:val="Compact"/>
      </w:pPr>
      <w:r>
        <w:rPr>
          <w:bCs/>
          <w:b/>
        </w:rPr>
        <w:t xml:space="preserve">Administrative Burden:</w:t>
      </w:r>
      <w:r>
        <w:t xml:space="preserve"> </w:t>
      </w:r>
      <w:r>
        <w:t xml:space="preserve">Self-reported hours spent on documentation versus direct client interaction.</w:t>
      </w:r>
    </w:p>
    <w:p>
      <w:pPr>
        <w:numPr>
          <w:ilvl w:val="0"/>
          <w:numId w:val="1002"/>
        </w:numPr>
        <w:pStyle w:val="Compact"/>
      </w:pPr>
      <w:r>
        <w:rPr>
          <w:bCs/>
          <w:b/>
        </w:rPr>
        <w:t xml:space="preserve">Inter-agency Collaboration:</w:t>
      </w:r>
      <w:r>
        <w:t xml:space="preserve"> </w:t>
      </w:r>
      <w:r>
        <w:t xml:space="preserve">Frequency of successful referrals to other government bodies, such as the Department of Social Welfare (JKM) or local health clinics.</w:t>
      </w:r>
    </w:p>
    <w:p>
      <w:pPr>
        <w:pStyle w:val="FirstParagraph"/>
      </w:pPr>
      <w:r>
        <w:t xml:space="preserve">5. Ethical Considerations</w:t>
      </w:r>
    </w:p>
    <w:p>
      <w:pPr>
        <w:pStyle w:val="BodyText"/>
      </w:pPr>
      <w:r>
        <w:t xml:space="preserve">Given the sensitive nature of social work, strict ethical guidelines will be adhered to throughout this experiment. Approval will be sought from the relevant Institutional Review Board (IRB) in Malaysia.</w:t>
      </w:r>
    </w:p>
    <w:p>
      <w:pPr>
        <w:pStyle w:val="BodyText"/>
      </w:pPr>
      <w:r>
        <w:rPr>
          <w:bCs/>
          <w:b/>
        </w:rPr>
        <w:t xml:space="preserve">5.1 Informed Consent:</w:t>
      </w:r>
      <w:r>
        <w:t xml:space="preserve"> </w:t>
      </w:r>
      <w:r>
        <w:t xml:space="preserve">All Social Worker participants and their clients will provide written informed consent. The consent forms will clearly explain the purpose of the study, the voluntary nature of participation, and the right to withdraw at any time without penalty.</w:t>
      </w:r>
    </w:p>
    <w:p>
      <w:pPr>
        <w:pStyle w:val="BodyText"/>
      </w:pPr>
      <w:r>
        <w:rPr>
          <w:bCs/>
          <w:b/>
        </w:rPr>
        <w:t xml:space="preserve">5.2 Confidentiality and Data Privacy:</w:t>
      </w:r>
      <w:r>
        <w:t xml:space="preserve"> </w:t>
      </w:r>
      <w:r>
        <w:t xml:space="preserve">In compliance with the Personal Data Protection Act (PDPA) of Malaysia, all client data will be anonymized. Digital tools used in the Intervention Group will employ end-to-end encryption to ensure that sensitive information regarding families in Kuala Lumpur remains secure.</w:t>
      </w:r>
    </w:p>
    <w:p>
      <w:pPr>
        <w:pStyle w:val="BodyText"/>
      </w:pPr>
      <w:r>
        <w:rPr>
          <w:bCs/>
          <w:b/>
        </w:rPr>
        <w:t xml:space="preserve">5.3 Cultural Sensitivity:</w:t>
      </w:r>
      <w:r>
        <w:t xml:space="preserve"> </w:t>
      </w:r>
      <w:r>
        <w:t xml:space="preserve">The protocol acknowledges the multi-ethnic fabric of Malaysia Kuala Lumpur. All materials and interventions will be reviewed by a cultural advisory panel to ensure respect for local customs, religious beliefs, and social norms.</w:t>
      </w:r>
    </w:p>
    <w:p>
      <w:pPr>
        <w:pStyle w:val="BodyText"/>
      </w:pPr>
      <w:r>
        <w:t xml:space="preserve">6. Risk Management</w:t>
      </w:r>
    </w:p>
    <w:p>
      <w:pPr>
        <w:pStyle w:val="BodyText"/>
      </w:pPr>
      <w:r>
        <w:t xml:space="preserve">Potential risks include technological failure, data breaches, and increased stress for Social Worker participants adapting to new systems. Mitigation strategies include:</w:t>
      </w:r>
    </w:p>
    <w:p>
      <w:pPr>
        <w:numPr>
          <w:ilvl w:val="0"/>
          <w:numId w:val="1003"/>
        </w:numPr>
        <w:pStyle w:val="Compact"/>
      </w:pPr>
      <w:r>
        <w:t xml:space="preserve">Providing comprehensive technical support and training workshops for all Social Worker participants.</w:t>
      </w:r>
    </w:p>
    <w:p>
      <w:pPr>
        <w:numPr>
          <w:ilvl w:val="0"/>
          <w:numId w:val="1003"/>
        </w:numPr>
        <w:pStyle w:val="Compact"/>
      </w:pPr>
      <w:r>
        <w:t xml:space="preserve">Implementing robust cybersecurity measures to protect client data.</w:t>
      </w:r>
    </w:p>
    <w:p>
      <w:pPr>
        <w:numPr>
          <w:ilvl w:val="0"/>
          <w:numId w:val="1003"/>
        </w:numPr>
        <w:pStyle w:val="Compact"/>
      </w:pPr>
      <w:r>
        <w:t xml:space="preserve">Offering counseling support for practitioners experiencing stress related to the experimental conditions.</w:t>
      </w:r>
    </w:p>
    <w:p>
      <w:pPr>
        <w:pStyle w:val="FirstParagraph"/>
      </w:pPr>
      <w:r>
        <w:t xml:space="preserve">7. Expected Outcomes and Impact</w:t>
      </w:r>
    </w:p>
    <w:p>
      <w:pPr>
        <w:pStyle w:val="BodyText"/>
      </w:pPr>
      <w:r>
        <w:t xml:space="preserve">It is anticipated that this Experiment Protocol will demonstrate that the integration of tailored digital tools can significantly enhance the efficiency and effectiveness of Social Worker interventions in Malaysia Kuala Lumpur. Successful outcomes could lead to policy recommendations for the Department of Social Welfare, potentially modernizing social service delivery across the nation. Furthermore, the study aims to highlight the evolving role of the Social Worker in a rapidly digitizing urban environment, ensuring that human-centric care remains at the forefront of technological advancement.</w:t>
      </w:r>
    </w:p>
    <w:p>
      <w:pPr>
        <w:pStyle w:val="BodyText"/>
      </w:pPr>
      <w:r>
        <w:rPr>
          <w:bCs/>
          <w:b/>
        </w:rPr>
        <w:t xml:space="preserve">Prepared by:</w:t>
      </w:r>
      <w:r>
        <w:t xml:space="preserve"> </w:t>
      </w:r>
      <w:r>
        <w:t xml:space="preserve">Research &amp; Development Division</w:t>
      </w:r>
      <w:r>
        <w:br/>
      </w:r>
      <w:r>
        <w:rPr>
          <w:bCs/>
          <w:b/>
        </w:rPr>
        <w:t xml:space="preserve">Affiliation:</w:t>
      </w:r>
      <w:r>
        <w:t xml:space="preserve"> </w:t>
      </w:r>
      <w:r>
        <w:t xml:space="preserve">Kuala Lumpur Social Innovation Hub</w:t>
      </w:r>
      <w:r>
        <w:br/>
      </w:r>
      <w:r>
        <w:rPr>
          <w:bCs/>
          <w:b/>
        </w:rPr>
        <w:t xml:space="preserve">Contact:</w:t>
      </w:r>
      <w:r>
        <w:t xml:space="preserve"> </w:t>
      </w:r>
      <w:r>
        <w:t xml:space="preserve">research@kl-socialhub.my</w:t>
      </w:r>
      <w:r>
        <w:br/>
      </w:r>
      <w:r>
        <w:rPr>
          <w:iCs/>
          <w:i/>
        </w:rPr>
        <w:t xml:space="preserve">This document is confidential and intended for authorized personnel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Social Worker Intervention in Malaysia Kuala Lumpur</dc:title>
  <dc:creator/>
  <dc:language>en</dc:language>
  <cp:keywords/>
  <dcterms:created xsi:type="dcterms:W3CDTF">2026-10-10T01:06:12Z</dcterms:created>
  <dcterms:modified xsi:type="dcterms:W3CDTF">2026-10-10T01:06:12Z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