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a539e940bc9adb8a31d55e383909366f6e2834d"/>
    <w:p>
      <w:pPr>
        <w:pStyle w:val="Heading1"/>
      </w:pPr>
      <w:r>
        <w:t xml:space="preserve">Experiment Protocol: Community-Based Social Worker Intervention Model</w:t>
      </w:r>
    </w:p>
    <w:p>
      <w:pPr>
        <w:pStyle w:val="FirstParagraph"/>
      </w:pPr>
      <w:r>
        <w:rPr>
          <w:bCs/>
          <w:b/>
        </w:rPr>
        <w:t xml:space="preserve">Location:</w:t>
      </w:r>
      <w:r>
        <w:t xml:space="preserve"> </w:t>
      </w:r>
      <w:r>
        <w:t xml:space="preserve">Wellington, New Zealand</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evaluating a novel, community-integrated Social Worker intervention model designed specifically for the urban environment of New Zealand Wellington. Wellington, as the capital city of New Zealand, presents unique socio-economic challenges, including housing affordability, mental health disparities, and the specific needs of its diverse Māori and Pasifika populations. The current social work framework, while robust, requires adaptation to address the rapid urbanization and cultural nuances inherent to this region.</w:t>
      </w:r>
    </w:p>
    <w:p>
      <w:pPr>
        <w:pStyle w:val="BodyText"/>
      </w:pPr>
      <w:r>
        <w:t xml:space="preserve">The primary objective of this experiment is to determine whether a decentralized, culturally responsive Social Worker deployment strategy can improve client outcomes compared to traditional centralized agency models. This protocol adheres to the ethical guidelines set forth by the Social Workers Registration Board (SWRB) of New Zealand and the Health and Disability Ethics Committee (HDEC).</w:t>
      </w:r>
    </w:p>
    <w:p>
      <w:pPr>
        <w:pStyle w:val="BodyText"/>
      </w:pPr>
      <w:r>
        <w:t xml:space="preserve">2. Objectives and Hypotheses</w:t>
      </w:r>
    </w:p>
    <w:p>
      <w:pPr>
        <w:pStyle w:val="BodyText"/>
      </w:pPr>
      <w:r>
        <w:t xml:space="preserve">The experiment aims to achieve the following specific objectives:</w:t>
      </w:r>
    </w:p>
    <w:p>
      <w:pPr>
        <w:numPr>
          <w:ilvl w:val="0"/>
          <w:numId w:val="1001"/>
        </w:numPr>
        <w:pStyle w:val="Compact"/>
      </w:pPr>
      <w:r>
        <w:t xml:space="preserve">To assess the impact of localized Social Worker engagement on housing stability in Wellington's inner-city suburbs.</w:t>
      </w:r>
    </w:p>
    <w:p>
      <w:pPr>
        <w:numPr>
          <w:ilvl w:val="0"/>
          <w:numId w:val="1001"/>
        </w:numPr>
        <w:pStyle w:val="Compact"/>
      </w:pPr>
      <w:r>
        <w:t xml:space="preserve">To evaluate the effectiveness of integrating Te Ao Māori (the Māori worldview) principles into standard social work practices within a Wellington context.</w:t>
      </w:r>
    </w:p>
    <w:p>
      <w:pPr>
        <w:numPr>
          <w:ilvl w:val="0"/>
          <w:numId w:val="1001"/>
        </w:numPr>
        <w:pStyle w:val="Compact"/>
      </w:pPr>
      <w:r>
        <w:t xml:space="preserve">To measure client satisfaction and trust levels when Social Workers operate from community hubs rather than government offices.</w:t>
      </w:r>
    </w:p>
    <w:p>
      <w:pPr>
        <w:pStyle w:val="FirstParagraph"/>
      </w:pPr>
      <w:r>
        <w:rPr>
          <w:bCs/>
          <w:b/>
        </w:rPr>
        <w:t xml:space="preserve">Hypothesis:</w:t>
      </w:r>
      <w:r>
        <w:t xml:space="preserve"> </w:t>
      </w:r>
      <w:r>
        <w:t xml:space="preserve">We hypothesize that Social Workers operating under this new decentralized model in New Zealand Wellington will achieve a 20% higher rate of sustained positive outcomes (housing retention, mental health stability) over a six-month period compared to the control group receiving standard care.</w:t>
      </w:r>
    </w:p>
    <w:p>
      <w:pPr>
        <w:pStyle w:val="BodyText"/>
      </w:pPr>
      <w:r>
        <w:t xml:space="preserve">3. Methodology</w:t>
      </w:r>
    </w:p>
    <w:p>
      <w:pPr>
        <w:pStyle w:val="BodyText"/>
      </w:pPr>
      <w:r>
        <w:rPr>
          <w:bCs/>
          <w:b/>
        </w:rPr>
        <w:t xml:space="preserve">3.1 Study Design</w:t>
      </w:r>
      <w:r>
        <w:br/>
      </w:r>
      <w:r>
        <w:t xml:space="preserve">This study will utilize a randomized controlled trial (RCT) design. Participants will be recruited from existing social service databases in Wellington City and Hutt Valley. The study will run for a duration of 12 months, with a 6-month intervention period followed by a 6-month follow-up period.</w:t>
      </w:r>
    </w:p>
    <w:p>
      <w:pPr>
        <w:pStyle w:val="BodyText"/>
      </w:pPr>
      <w:r>
        <w:rPr>
          <w:bCs/>
          <w:b/>
        </w:rPr>
        <w:t xml:space="preserve">3.2 Participants</w:t>
      </w:r>
      <w:r>
        <w:br/>
      </w:r>
      <w:r>
        <w:t xml:space="preserve">The target population includes individuals aged 18-65 residing in New Zealand Wellington who are currently engaged with social services for housing insecurity or family support. Inclusion criteria require participants to have a primary residence within the Wellington region and consent to participate in the study. Exclusion criteria include individuals currently under acute psychiatric care requiring inpatient treatment, as their needs exceed the scope of this community-based experiment.</w:t>
      </w:r>
    </w:p>
    <w:p>
      <w:pPr>
        <w:pStyle w:val="BodyText"/>
      </w:pPr>
      <w:r>
        <w:rPr>
          <w:bCs/>
          <w:b/>
        </w:rPr>
        <w:t xml:space="preserve">3.3 Intervention Group</w:t>
      </w:r>
      <w:r>
        <w:br/>
      </w:r>
      <w:r>
        <w:t xml:space="preserve">Participants in the intervention group will be assigned to a Social Worker operating under the "Wellington Community Hub" model. These Social Workers will:</w:t>
      </w:r>
    </w:p>
    <w:p>
      <w:pPr>
        <w:numPr>
          <w:ilvl w:val="0"/>
          <w:numId w:val="1002"/>
        </w:numPr>
        <w:pStyle w:val="Compact"/>
      </w:pPr>
      <w:r>
        <w:t xml:space="preserve">Be based in local community centers in areas such as Te Aro, Newtown, and Porirua.</w:t>
      </w:r>
    </w:p>
    <w:p>
      <w:pPr>
        <w:numPr>
          <w:ilvl w:val="0"/>
          <w:numId w:val="1002"/>
        </w:numPr>
        <w:pStyle w:val="Compact"/>
      </w:pPr>
      <w:r>
        <w:t xml:space="preserve">Utilize a caseload management system that prioritizes cultural safety and whānau (family) centered approaches.</w:t>
      </w:r>
    </w:p>
    <w:p>
      <w:pPr>
        <w:numPr>
          <w:ilvl w:val="0"/>
          <w:numId w:val="1002"/>
        </w:numPr>
        <w:pStyle w:val="Compact"/>
      </w:pPr>
      <w:r>
        <w:t xml:space="preserve">Conduct home visits and community-based meetings rather than office-based consultations.</w:t>
      </w:r>
    </w:p>
    <w:p>
      <w:pPr>
        <w:numPr>
          <w:ilvl w:val="0"/>
          <w:numId w:val="1002"/>
        </w:numPr>
        <w:pStyle w:val="Compact"/>
      </w:pPr>
      <w:r>
        <w:t xml:space="preserve">Collaborate directly with local iwi (tribes) and marae to provide culturally appropriate support.</w:t>
      </w:r>
    </w:p>
    <w:p>
      <w:pPr>
        <w:pStyle w:val="FirstParagraph"/>
      </w:pPr>
      <w:r>
        <w:rPr>
          <w:bCs/>
          <w:b/>
        </w:rPr>
        <w:t xml:space="preserve">3.4 Control Group</w:t>
      </w:r>
      <w:r>
        <w:br/>
      </w:r>
      <w:r>
        <w:t xml:space="preserve">Participants in the control group will continue to receive standard social work services as currently provided by Wellington-based government agencies. This includes office-based appointments and standard referral pathways without the specific community hub integration.</w:t>
      </w:r>
    </w:p>
    <w:p>
      <w:pPr>
        <w:pStyle w:val="BodyText"/>
      </w:pPr>
      <w:r>
        <w:t xml:space="preserve">4. Data Collection and Metrics</w:t>
      </w:r>
    </w:p>
    <w:p>
      <w:pPr>
        <w:pStyle w:val="BodyText"/>
      </w:pPr>
      <w:r>
        <w:t xml:space="preserve">Data will be collected at baseline, 3 months, 6 months, and 12 months. Key performance indicators (KPIs) include:</w:t>
      </w:r>
    </w:p>
    <w:p>
      <w:pPr>
        <w:numPr>
          <w:ilvl w:val="0"/>
          <w:numId w:val="1003"/>
        </w:numPr>
        <w:pStyle w:val="Compact"/>
      </w:pPr>
      <w:r>
        <w:rPr>
          <w:bCs/>
          <w:b/>
        </w:rPr>
        <w:t xml:space="preserve">Housing Stability:</w:t>
      </w:r>
      <w:r>
        <w:t xml:space="preserve"> </w:t>
      </w:r>
      <w:r>
        <w:t xml:space="preserve">Number of housing moves, days spent in emergency accommodation.</w:t>
      </w:r>
    </w:p>
    <w:p>
      <w:pPr>
        <w:numPr>
          <w:ilvl w:val="0"/>
          <w:numId w:val="1003"/>
        </w:numPr>
        <w:pStyle w:val="Compact"/>
      </w:pPr>
      <w:r>
        <w:rPr>
          <w:bCs/>
          <w:b/>
        </w:rPr>
        <w:t xml:space="preserve">Mental Health:</w:t>
      </w:r>
      <w:r>
        <w:t xml:space="preserve"> </w:t>
      </w:r>
      <w:r>
        <w:t xml:space="preserve">Scores on the Kessler Psychological Distress Scale (K10).</w:t>
      </w:r>
    </w:p>
    <w:p>
      <w:pPr>
        <w:numPr>
          <w:ilvl w:val="0"/>
          <w:numId w:val="1003"/>
        </w:numPr>
        <w:pStyle w:val="Compact"/>
      </w:pPr>
      <w:r>
        <w:rPr>
          <w:bCs/>
          <w:b/>
        </w:rPr>
        <w:t xml:space="preserve">Engagement:</w:t>
      </w:r>
      <w:r>
        <w:t xml:space="preserve"> </w:t>
      </w:r>
      <w:r>
        <w:t xml:space="preserve">Attendance rates at scheduled Social Worker appointments.</w:t>
      </w:r>
    </w:p>
    <w:p>
      <w:pPr>
        <w:numPr>
          <w:ilvl w:val="0"/>
          <w:numId w:val="1003"/>
        </w:numPr>
        <w:pStyle w:val="Compact"/>
      </w:pPr>
      <w:r>
        <w:rPr>
          <w:bCs/>
          <w:b/>
        </w:rPr>
        <w:t xml:space="preserve">Cultural Safety:</w:t>
      </w:r>
      <w:r>
        <w:t xml:space="preserve"> </w:t>
      </w:r>
      <w:r>
        <w:t xml:space="preserve">Qualitative feedback from Māori and Pasifika participants regarding their sense of cultural respect and understanding.</w:t>
      </w:r>
    </w:p>
    <w:p>
      <w:pPr>
        <w:pStyle w:val="FirstParagraph"/>
      </w:pPr>
      <w:r>
        <w:t xml:space="preserve">Quantitative data will be analyzed using statistical software to determine significance. Qualitative data will be gathered through semi-structured interviews with a subset of participants and Social Workers to gain deeper insights into the lived experience of the intervention in New Zealand Wellington.</w:t>
      </w:r>
    </w:p>
    <w:p>
      <w:pPr>
        <w:pStyle w:val="BodyText"/>
      </w:pPr>
      <w:r>
        <w:t xml:space="preserve">5. Ethical Considerations</w:t>
      </w:r>
    </w:p>
    <w:p>
      <w:pPr>
        <w:pStyle w:val="BodyText"/>
      </w:pPr>
      <w:r>
        <w:t xml:space="preserve">This experiment strictly adheres to the principles of the Declaration of Helsinki and the Code of Ethics of the Social Workers Registration Board of New Zealand. Key ethical considerations include:</w:t>
      </w:r>
    </w:p>
    <w:p>
      <w:pPr>
        <w:numPr>
          <w:ilvl w:val="0"/>
          <w:numId w:val="1004"/>
        </w:numPr>
        <w:pStyle w:val="Compact"/>
      </w:pPr>
      <w:r>
        <w:rPr>
          <w:bCs/>
          <w:b/>
        </w:rPr>
        <w:t xml:space="preserve">Informed Consent:</w:t>
      </w:r>
      <w:r>
        <w:t xml:space="preserve"> </w:t>
      </w:r>
      <w:r>
        <w:t xml:space="preserve">All participants must provide written informed consent in a language they understand. Information sheets will be available in English, Te Reo Māori, and Samoan.</w:t>
      </w:r>
    </w:p>
    <w:p>
      <w:pPr>
        <w:numPr>
          <w:ilvl w:val="0"/>
          <w:numId w:val="1004"/>
        </w:numPr>
        <w:pStyle w:val="Compact"/>
      </w:pPr>
      <w:r>
        <w:rPr>
          <w:bCs/>
          <w:b/>
        </w:rPr>
        <w:t xml:space="preserve">Confidentiality:</w:t>
      </w:r>
      <w:r>
        <w:t xml:space="preserve"> </w:t>
      </w:r>
      <w:r>
        <w:t xml:space="preserve">All data will be anonymized and stored securely in compliance with the Privacy Act 2020 of New Zealand.</w:t>
      </w:r>
    </w:p>
    <w:p>
      <w:pPr>
        <w:numPr>
          <w:ilvl w:val="0"/>
          <w:numId w:val="1004"/>
        </w:numPr>
        <w:pStyle w:val="Compact"/>
      </w:pPr>
      <w:r>
        <w:rPr>
          <w:bCs/>
          <w:b/>
        </w:rPr>
        <w:t xml:space="preserve">Cultural Integrity:</w:t>
      </w:r>
      <w:r>
        <w:t xml:space="preserve"> </w:t>
      </w:r>
      <w:r>
        <w:t xml:space="preserve">The protocol respects the principles of the Treaty of Waitangi, ensuring that Māori participants are treated with mana (dignity) and that their cultural protocols are observed.</w:t>
      </w:r>
    </w:p>
    <w:p>
      <w:pPr>
        <w:numPr>
          <w:ilvl w:val="0"/>
          <w:numId w:val="1004"/>
        </w:numPr>
        <w:pStyle w:val="Compact"/>
      </w:pPr>
      <w:r>
        <w:rPr>
          <w:bCs/>
          <w:b/>
        </w:rPr>
        <w:t xml:space="preserve">Right to Withdraw:</w:t>
      </w:r>
      <w:r>
        <w:t xml:space="preserve"> </w:t>
      </w:r>
      <w:r>
        <w:t xml:space="preserve">Participants may withdraw from the experiment at any time without penalty or loss of access to standard social services.</w:t>
      </w:r>
    </w:p>
    <w:p>
      <w:pPr>
        <w:pStyle w:val="FirstParagraph"/>
      </w:pPr>
      <w:r>
        <w:t xml:space="preserve">6. Risk Management</w:t>
      </w:r>
    </w:p>
    <w:p>
      <w:pPr>
        <w:pStyle w:val="BodyText"/>
      </w:pPr>
      <w:r>
        <w:t xml:space="preserve">Potential risks include participant distress during interviews or the possibility of unequal resource distribution. To mitigate these risks:</w:t>
      </w:r>
    </w:p>
    <w:p>
      <w:pPr>
        <w:numPr>
          <w:ilvl w:val="0"/>
          <w:numId w:val="1005"/>
        </w:numPr>
        <w:pStyle w:val="Compact"/>
      </w:pPr>
      <w:r>
        <w:t xml:space="preserve">Trained Social Workers will be present during all data collection activities to provide immediate support if distress occurs.</w:t>
      </w:r>
    </w:p>
    <w:p>
      <w:pPr>
        <w:numPr>
          <w:ilvl w:val="0"/>
          <w:numId w:val="1005"/>
        </w:numPr>
        <w:pStyle w:val="Compact"/>
      </w:pPr>
      <w:r>
        <w:t xml:space="preserve">Regular audits will be conducted to ensure that the control group continues to receive adequate standard care.</w:t>
      </w:r>
    </w:p>
    <w:p>
      <w:pPr>
        <w:numPr>
          <w:ilvl w:val="0"/>
          <w:numId w:val="1005"/>
        </w:numPr>
        <w:pStyle w:val="Compact"/>
      </w:pPr>
      <w:r>
        <w:t xml:space="preserve">An independent ethics advisory board, including representatives from Wellington local iwi, will review the experiment quarterly.</w:t>
      </w:r>
    </w:p>
    <w:p>
      <w:pPr>
        <w:pStyle w:val="FirstParagraph"/>
      </w:pPr>
      <w:r>
        <w:t xml:space="preserve">7. Dissemination of Results</w:t>
      </w:r>
    </w:p>
    <w:p>
      <w:pPr>
        <w:pStyle w:val="BodyText"/>
      </w:pPr>
      <w:r>
        <w:t xml:space="preserve">Upon completion of the 12-month period, the findings will be compiled into a comprehensive report. Results will be shared with:</w:t>
      </w:r>
    </w:p>
    <w:p>
      <w:pPr>
        <w:numPr>
          <w:ilvl w:val="0"/>
          <w:numId w:val="1006"/>
        </w:numPr>
        <w:pStyle w:val="Compact"/>
      </w:pPr>
      <w:r>
        <w:t xml:space="preserve">The Wellington City Council and relevant government ministries.</w:t>
      </w:r>
    </w:p>
    <w:p>
      <w:pPr>
        <w:numPr>
          <w:ilvl w:val="0"/>
          <w:numId w:val="1006"/>
        </w:numPr>
        <w:pStyle w:val="Compact"/>
      </w:pPr>
      <w:r>
        <w:t xml:space="preserve">The Social Workers Registration Board of New Zealand.</w:t>
      </w:r>
    </w:p>
    <w:p>
      <w:pPr>
        <w:numPr>
          <w:ilvl w:val="0"/>
          <w:numId w:val="1006"/>
        </w:numPr>
        <w:pStyle w:val="Compact"/>
      </w:pPr>
      <w:r>
        <w:t xml:space="preserve">Academic institutions and social work journals.</w:t>
      </w:r>
    </w:p>
    <w:p>
      <w:pPr>
        <w:numPr>
          <w:ilvl w:val="0"/>
          <w:numId w:val="1006"/>
        </w:numPr>
        <w:pStyle w:val="Compact"/>
      </w:pPr>
      <w:r>
        <w:t xml:space="preserve">Community stakeholders and participants in accessible formats.</w:t>
      </w:r>
    </w:p>
    <w:p>
      <w:pPr>
        <w:pStyle w:val="FirstParagraph"/>
      </w:pPr>
      <w:r>
        <w:t xml:space="preserve">The goal is to inform policy changes and potentially scale the successful aspects of this Social Worker intervention model across New Zealand Wellington and other urban centers in the country.</w:t>
      </w:r>
    </w:p>
    <w:p>
      <w:pPr>
        <w:pStyle w:val="BodyText"/>
      </w:pPr>
      <w:r>
        <w:rPr>
          <w:bCs/>
          <w:b/>
        </w:rPr>
        <w:t xml:space="preserve">Approval Status:</w:t>
      </w:r>
      <w:r>
        <w:t xml:space="preserve"> </w:t>
      </w:r>
      <w:r>
        <w:t xml:space="preserve">Pending Ethics Committee Review</w:t>
      </w:r>
    </w:p>
    <w:p>
      <w:pPr>
        <w:pStyle w:val="BodyText"/>
      </w:pPr>
      <w:r>
        <w:rPr>
          <w:bCs/>
          <w:b/>
        </w:rPr>
        <w:t xml:space="preserve">Contact:</w:t>
      </w:r>
      <w:r>
        <w:t xml:space="preserve"> </w:t>
      </w:r>
      <w:r>
        <w:t xml:space="preserve">Research Coordination Unit, Wellington Social Innovation Lab</w:t>
      </w:r>
    </w:p>
    <w:p>
      <w:pPr>
        <w:pStyle w:val="BodyText"/>
      </w:pPr>
      <w:r>
        <w:t xml:space="preserve">© 2023 Wellington Social Innovation Lab.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New Zealand Wellington</dc:title>
  <dc:creator/>
  <dc:language>en</dc:language>
  <cp:keywords/>
  <dcterms:created xsi:type="dcterms:W3CDTF">2026-10-10T13:53:07Z</dcterms:created>
  <dcterms:modified xsi:type="dcterms:W3CDTF">2026-10-10T13:53:07Z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