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Pakistan</w:t>
      </w:r>
      <w:r>
        <w:t xml:space="preserve"> </w:t>
      </w:r>
      <w:r>
        <w:t xml:space="preserve">Islamabad</w:t>
      </w:r>
    </w:p>
    <w:bookmarkStart w:id="20" w:name="Xa539e940bc9adb8a31d55e383909366f6e2834d"/>
    <w:p>
      <w:pPr>
        <w:pStyle w:val="Heading1"/>
      </w:pPr>
      <w:r>
        <w:t xml:space="preserve">Experiment Protocol: Community-Based Social Worker Intervention Model</w:t>
      </w:r>
    </w:p>
    <w:p>
      <w:pPr>
        <w:pStyle w:val="FirstParagraph"/>
      </w:pPr>
      <w:r>
        <w:rPr>
          <w:bCs/>
          <w:b/>
        </w:rPr>
        <w:t xml:space="preserve">Protocol ID:</w:t>
      </w:r>
      <w:r>
        <w:t xml:space="preserve"> </w:t>
      </w:r>
      <w:r>
        <w:t xml:space="preserve">PK-ISB-SW-2024-001</w:t>
      </w:r>
    </w:p>
    <w:p>
      <w:pPr>
        <w:pStyle w:val="BodyText"/>
      </w:pPr>
      <w:r>
        <w:rPr>
          <w:bCs/>
          <w:b/>
        </w:rPr>
        <w:t xml:space="preserve">Location:</w:t>
      </w:r>
      <w:r>
        <w:t xml:space="preserve"> </w:t>
      </w:r>
      <w:r>
        <w:t xml:space="preserve">Pakistan Islamabad (Specifically targeting low-income settlements in Sector F-10 and G-11)</w:t>
      </w:r>
    </w:p>
    <w:p>
      <w:pPr>
        <w:pStyle w:val="BodyText"/>
      </w:pPr>
      <w:r>
        <w:rPr>
          <w:bCs/>
          <w:b/>
        </w:rPr>
        <w:t xml:space="preserve">Subject:</w:t>
      </w:r>
      <w:r>
        <w:t xml:space="preserve"> </w:t>
      </w:r>
      <w:r>
        <w:t xml:space="preserve">Social Worker Efficacy in Urban Poverty Alleviation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impact of professional Social Worker interventions within the urban landscape of Pakistan Islamabad. As the capital city of Pakistan, Islamabad presents a unique dichotomy of high-income enclaves and marginalized informal settlements. Despite the city's planned infrastructure, a significant portion of the population resides in unplanned areas facing challenges related to sanitation, education, healthcare access, and social cohesion.</w:t>
      </w:r>
    </w:p>
    <w:p>
      <w:pPr>
        <w:pStyle w:val="BodyText"/>
      </w:pPr>
      <w:r>
        <w:t xml:space="preserve">The role of the Social Worker in this context is critical. However, there is a lack of empirical data regarding the effectiveness of standardized social work practices in this specific cultural and geographical setting. This experiment aims to bridge that gap by testing a structured intervention model designed to empower communities through professional social work guidance.</w:t>
      </w:r>
    </w:p>
    <w:bookmarkEnd w:id="21"/>
    <w:bookmarkStart w:id="22" w:name="objectives"/>
    <w:p>
      <w:pPr>
        <w:pStyle w:val="Heading2"/>
      </w:pPr>
      <w:r>
        <w:t xml:space="preserve">2. Objectives</w:t>
      </w:r>
    </w:p>
    <w:p>
      <w:pPr>
        <w:pStyle w:val="FirstParagraph"/>
      </w:pPr>
      <w:r>
        <w:t xml:space="preserve">The primary objective of this experiment is to measure the quantitative and qualitative improvements in community well-being resulting from the deployment of trained Social Workers in selected neighborhoods of Pakistan Islamabad.</w:t>
      </w:r>
    </w:p>
    <w:p>
      <w:pPr>
        <w:numPr>
          <w:ilvl w:val="0"/>
          <w:numId w:val="1001"/>
        </w:numPr>
        <w:pStyle w:val="Compact"/>
      </w:pPr>
      <w:r>
        <w:rPr>
          <w:bCs/>
          <w:b/>
        </w:rPr>
        <w:t xml:space="preserve">Primary Goal:</w:t>
      </w:r>
      <w:r>
        <w:t xml:space="preserve"> </w:t>
      </w:r>
      <w:r>
        <w:t xml:space="preserve">To assess the correlation between Social Worker engagement and improved access to government services (such as BISP cards and health facilities) for residents.</w:t>
      </w:r>
    </w:p>
    <w:p>
      <w:pPr>
        <w:numPr>
          <w:ilvl w:val="0"/>
          <w:numId w:val="1001"/>
        </w:numPr>
        <w:pStyle w:val="Compact"/>
      </w:pPr>
      <w:r>
        <w:rPr>
          <w:bCs/>
          <w:b/>
        </w:rPr>
        <w:t xml:space="preserve">Secondary Goal:</w:t>
      </w:r>
      <w:r>
        <w:t xml:space="preserve"> </w:t>
      </w:r>
      <w:r>
        <w:t xml:space="preserve">To evaluate the impact of social work interventions on community conflict resolution and social cohesion.</w:t>
      </w:r>
    </w:p>
    <w:p>
      <w:pPr>
        <w:numPr>
          <w:ilvl w:val="0"/>
          <w:numId w:val="1001"/>
        </w:numPr>
        <w:pStyle w:val="Compact"/>
      </w:pPr>
      <w:r>
        <w:rPr>
          <w:bCs/>
          <w:b/>
        </w:rPr>
        <w:t xml:space="preserve">Tertiary Goal:</w:t>
      </w:r>
      <w:r>
        <w:t xml:space="preserve"> </w:t>
      </w:r>
      <w:r>
        <w:t xml:space="preserve">To determine the feasibility of scaling a professional Social Worker model across other districts of Islamabad.</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with a control group. Two comparable neighborhoods in Pakistan Islamabad will be selected: one will serve as the intervention group (receiving Social Worker support) and the other as the control group (receiving standard municipal services only).</w:t>
      </w:r>
    </w:p>
    <w:bookmarkEnd w:id="23"/>
    <w:bookmarkStart w:id="24" w:name="participant-selection"/>
    <w:p>
      <w:pPr>
        <w:pStyle w:val="Heading3"/>
      </w:pPr>
      <w:r>
        <w:t xml:space="preserve">3.2 Participant Selection</w:t>
      </w:r>
    </w:p>
    <w:p>
      <w:pPr>
        <w:pStyle w:val="FirstParagraph"/>
      </w:pPr>
      <w:r>
        <w:t xml:space="preserve">The target population consists of households residing in low-income settlements. Inclusion criteria include residency in the selected sector for at least two years and household income below the national poverty line. Exclusion criteria include households that have recently received specialized NGO interventions that might skew results.</w:t>
      </w:r>
    </w:p>
    <w:bookmarkEnd w:id="24"/>
    <w:bookmarkStart w:id="25" w:name="the-social-worker-intervention"/>
    <w:p>
      <w:pPr>
        <w:pStyle w:val="Heading3"/>
      </w:pPr>
      <w:r>
        <w:t xml:space="preserve">3.3 The Social Worker Intervention</w:t>
      </w:r>
    </w:p>
    <w:p>
      <w:pPr>
        <w:pStyle w:val="FirstParagraph"/>
      </w:pPr>
      <w:r>
        <w:t xml:space="preserve">The core of this experiment is the deployment of certified Social Workers. These professionals will undergo specific training tailored to the socio-cultural dynamics of Pakistan Islamabad. Their duties will include:</w:t>
      </w:r>
    </w:p>
    <w:p>
      <w:pPr>
        <w:numPr>
          <w:ilvl w:val="0"/>
          <w:numId w:val="1002"/>
        </w:numPr>
        <w:pStyle w:val="Compact"/>
      </w:pPr>
      <w:r>
        <w:rPr>
          <w:bCs/>
          <w:b/>
        </w:rPr>
        <w:t xml:space="preserve">Case Management:</w:t>
      </w:r>
      <w:r>
        <w:t xml:space="preserve"> </w:t>
      </w:r>
      <w:r>
        <w:t xml:space="preserve">Identifying vulnerable individuals (elderly, disabled, single-parent households) and connecting them with relevant support systems.</w:t>
      </w:r>
    </w:p>
    <w:p>
      <w:pPr>
        <w:numPr>
          <w:ilvl w:val="0"/>
          <w:numId w:val="1002"/>
        </w:numPr>
        <w:pStyle w:val="Compact"/>
      </w:pPr>
      <w:r>
        <w:rPr>
          <w:bCs/>
          <w:b/>
        </w:rPr>
        <w:t xml:space="preserve">Advocacy:</w:t>
      </w:r>
      <w:r>
        <w:t xml:space="preserve"> </w:t>
      </w:r>
      <w:r>
        <w:t xml:space="preserve">Assisting residents in navigating bureaucratic processes to obtain essential documents and services.</w:t>
      </w:r>
    </w:p>
    <w:p>
      <w:pPr>
        <w:numPr>
          <w:ilvl w:val="0"/>
          <w:numId w:val="1002"/>
        </w:numPr>
        <w:pStyle w:val="Compact"/>
      </w:pPr>
      <w:r>
        <w:rPr>
          <w:bCs/>
          <w:b/>
        </w:rPr>
        <w:t xml:space="preserve">Community Mobilization:</w:t>
      </w:r>
      <w:r>
        <w:t xml:space="preserve"> </w:t>
      </w:r>
      <w:r>
        <w:t xml:space="preserve">Organizing local committees to address sanitation and safety issues.</w:t>
      </w:r>
    </w:p>
    <w:p>
      <w:pPr>
        <w:numPr>
          <w:ilvl w:val="0"/>
          <w:numId w:val="1002"/>
        </w:numPr>
        <w:pStyle w:val="Compact"/>
      </w:pPr>
      <w:r>
        <w:rPr>
          <w:bCs/>
          <w:b/>
        </w:rPr>
        <w:t xml:space="preserve">Psycho-social Support:</w:t>
      </w:r>
      <w:r>
        <w:t xml:space="preserve"> </w:t>
      </w:r>
      <w:r>
        <w:t xml:space="preserve">Providing basic counseling and stress management workshops.</w:t>
      </w:r>
    </w:p>
    <w:bookmarkEnd w:id="25"/>
    <w:bookmarkEnd w:id="26"/>
    <w:bookmarkStart w:id="27" w:name="data-collection-and-metrics"/>
    <w:p>
      <w:pPr>
        <w:pStyle w:val="Heading2"/>
      </w:pPr>
      <w:r>
        <w:t xml:space="preserve">4. Data Collection and Metrics</w:t>
      </w:r>
    </w:p>
    <w:p>
      <w:pPr>
        <w:pStyle w:val="FirstParagraph"/>
      </w:pPr>
      <w:r>
        <w:t xml:space="preserve">Data will be collected at three intervals: Baseline (Month 0), Mid-term (Month 6), and End-line (Month 12). The following metrics will be used to evaluate the effectiveness of the Social Worker: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Tool</w:t>
            </w:r>
          </w:p>
        </w:tc>
      </w:tr>
      <w:tr>
        <w:tc>
          <w:tcPr/>
          <w:p>
            <w:pPr>
              <w:pStyle w:val="Compact"/>
              <w:jc w:val="left"/>
            </w:pPr>
            <w:r>
              <w:t xml:space="preserve">Service Access</w:t>
            </w:r>
          </w:p>
        </w:tc>
        <w:tc>
          <w:tcPr/>
          <w:p>
            <w:pPr>
              <w:pStyle w:val="Compact"/>
              <w:jc w:val="left"/>
            </w:pPr>
            <w:r>
              <w:t xml:space="preserve">Percentage of households with valid CNICs and BISP enrollment</w:t>
            </w:r>
          </w:p>
        </w:tc>
        <w:tc>
          <w:tcPr/>
          <w:p>
            <w:pPr>
              <w:pStyle w:val="Compact"/>
              <w:jc w:val="left"/>
            </w:pPr>
            <w:r>
              <w:t xml:space="preserve">Household Survey</w:t>
            </w:r>
          </w:p>
        </w:tc>
      </w:tr>
      <w:tr>
        <w:tc>
          <w:tcPr/>
          <w:p>
            <w:pPr>
              <w:pStyle w:val="Compact"/>
              <w:jc w:val="left"/>
            </w:pPr>
            <w:r>
              <w:t xml:space="preserve">Health &amp; Sanitation</w:t>
            </w:r>
          </w:p>
        </w:tc>
        <w:tc>
          <w:tcPr/>
          <w:p>
            <w:pPr>
              <w:pStyle w:val="Compact"/>
              <w:jc w:val="left"/>
            </w:pPr>
            <w:r>
              <w:t xml:space="preserve">Reduction in reported waterborne diseases; usage of community clinics</w:t>
            </w:r>
          </w:p>
        </w:tc>
        <w:tc>
          <w:tcPr/>
          <w:p>
            <w:pPr>
              <w:pStyle w:val="Compact"/>
              <w:jc w:val="left"/>
            </w:pPr>
            <w:r>
              <w:t xml:space="preserve">Health Records &amp; Interviews</w:t>
            </w:r>
          </w:p>
        </w:tc>
      </w:tr>
      <w:tr>
        <w:tc>
          <w:tcPr/>
          <w:p>
            <w:pPr>
              <w:pStyle w:val="Compact"/>
              <w:jc w:val="left"/>
            </w:pPr>
            <w:r>
              <w:t xml:space="preserve">Social Cohesion</w:t>
            </w:r>
          </w:p>
        </w:tc>
        <w:tc>
          <w:tcPr/>
          <w:p>
            <w:pPr>
              <w:pStyle w:val="Compact"/>
              <w:jc w:val="left"/>
            </w:pPr>
            <w:r>
              <w:t xml:space="preserve">Number of resolved local disputes; frequency of community meetings</w:t>
            </w:r>
          </w:p>
        </w:tc>
        <w:tc>
          <w:tcPr/>
          <w:p>
            <w:pPr>
              <w:pStyle w:val="Compact"/>
              <w:jc w:val="left"/>
            </w:pPr>
            <w:r>
              <w:t xml:space="preserve">Focus Group Discussions</w:t>
            </w:r>
          </w:p>
        </w:tc>
      </w:tr>
      <w:tr>
        <w:tc>
          <w:tcPr/>
          <w:p>
            <w:pPr>
              <w:pStyle w:val="Compact"/>
              <w:jc w:val="left"/>
            </w:pPr>
            <w:r>
              <w:t xml:space="preserve">Empowerment</w:t>
            </w:r>
          </w:p>
        </w:tc>
        <w:tc>
          <w:tcPr/>
          <w:p>
            <w:pPr>
              <w:pStyle w:val="Compact"/>
              <w:jc w:val="left"/>
            </w:pPr>
            <w:r>
              <w:t xml:space="preserve">Self-reported confidence in dealing with authorities</w:t>
            </w:r>
          </w:p>
        </w:tc>
        <w:tc>
          <w:tcPr/>
          <w:p>
            <w:pPr>
              <w:pStyle w:val="Compact"/>
              <w:jc w:val="left"/>
            </w:pPr>
            <w:r>
              <w:t xml:space="preserve">Psychometric Scale</w:t>
            </w:r>
          </w:p>
        </w:tc>
      </w:tr>
    </w:tbl>
    <w:bookmarkEnd w:id="27"/>
    <w:bookmarkStart w:id="28" w:name="ethical-considerations"/>
    <w:p>
      <w:pPr>
        <w:pStyle w:val="Heading2"/>
      </w:pPr>
      <w:r>
        <w:t xml:space="preserve">5. Ethical Considerations</w:t>
      </w:r>
    </w:p>
    <w:p>
      <w:pPr>
        <w:pStyle w:val="FirstParagraph"/>
      </w:pPr>
      <w:r>
        <w:t xml:space="preserve">Given the sensitive nature of working with vulnerable populations in Pakistan Islamabad, strict ethical guidelines will be followed. All participants must provide informed consent in their preferred language (Urdu or local dialect). Confidentiality of personal data will be maintained in accordance with international social work standards. The experiment has been reviewed by the Institutional Review Board to ensure no harm comes to participants.</w:t>
      </w:r>
    </w:p>
    <w:bookmarkEnd w:id="28"/>
    <w:bookmarkStart w:id="29" w:name="timeline-and-implementation"/>
    <w:p>
      <w:pPr>
        <w:pStyle w:val="Heading2"/>
      </w:pPr>
      <w:r>
        <w:t xml:space="preserve">6. Timeline and Implementation</w:t>
      </w:r>
    </w:p>
    <w:p>
      <w:pPr>
        <w:pStyle w:val="FirstParagraph"/>
      </w:pPr>
      <w:r>
        <w:t xml:space="preserve">The experiment is scheduled for a duration of 12 months.</w:t>
      </w:r>
    </w:p>
    <w:p>
      <w:pPr>
        <w:numPr>
          <w:ilvl w:val="0"/>
          <w:numId w:val="1003"/>
        </w:numPr>
        <w:pStyle w:val="Compact"/>
      </w:pPr>
      <w:r>
        <w:rPr>
          <w:bCs/>
          <w:b/>
        </w:rPr>
        <w:t xml:space="preserve">Months 1-2:</w:t>
      </w:r>
      <w:r>
        <w:t xml:space="preserve"> </w:t>
      </w:r>
      <w:r>
        <w:t xml:space="preserve">Recruitment and training of Social Workers; Baseline data collection.</w:t>
      </w:r>
    </w:p>
    <w:p>
      <w:pPr>
        <w:numPr>
          <w:ilvl w:val="0"/>
          <w:numId w:val="1003"/>
        </w:numPr>
        <w:pStyle w:val="Compact"/>
      </w:pPr>
      <w:r>
        <w:rPr>
          <w:bCs/>
          <w:b/>
        </w:rPr>
        <w:t xml:space="preserve">Months 3-8:</w:t>
      </w:r>
      <w:r>
        <w:t xml:space="preserve"> </w:t>
      </w:r>
      <w:r>
        <w:t xml:space="preserve">Active intervention phase where Social Workers engage with the community.</w:t>
      </w:r>
    </w:p>
    <w:p>
      <w:pPr>
        <w:numPr>
          <w:ilvl w:val="0"/>
          <w:numId w:val="1003"/>
        </w:numPr>
        <w:pStyle w:val="Compact"/>
      </w:pPr>
      <w:r>
        <w:rPr>
          <w:bCs/>
          <w:b/>
        </w:rPr>
        <w:t xml:space="preserve">Month 9:</w:t>
      </w:r>
      <w:r>
        <w:t xml:space="preserve"> </w:t>
      </w:r>
      <w:r>
        <w:t xml:space="preserve">Mid-term evaluation and adjustment of strategies.</w:t>
      </w:r>
    </w:p>
    <w:p>
      <w:pPr>
        <w:numPr>
          <w:ilvl w:val="0"/>
          <w:numId w:val="1003"/>
        </w:numPr>
        <w:pStyle w:val="Compact"/>
      </w:pPr>
      <w:r>
        <w:rPr>
          <w:bCs/>
          <w:b/>
        </w:rPr>
        <w:t xml:space="preserve">Months 10-11:</w:t>
      </w:r>
      <w:r>
        <w:t xml:space="preserve"> </w:t>
      </w:r>
      <w:r>
        <w:t xml:space="preserve">Continued intervention and End-line data collection.</w:t>
      </w:r>
    </w:p>
    <w:p>
      <w:pPr>
        <w:numPr>
          <w:ilvl w:val="0"/>
          <w:numId w:val="1003"/>
        </w:numPr>
        <w:pStyle w:val="Compact"/>
      </w:pPr>
      <w:r>
        <w:rPr>
          <w:bCs/>
          <w:b/>
        </w:rPr>
        <w:t xml:space="preserve">Month 12:</w:t>
      </w:r>
      <w:r>
        <w:t xml:space="preserve"> </w:t>
      </w:r>
      <w:r>
        <w:t xml:space="preserve">Data analysis and reporting.</w:t>
      </w:r>
    </w:p>
    <w:bookmarkEnd w:id="29"/>
    <w:bookmarkStart w:id="30" w:name="expected-outcomes-and-impact"/>
    <w:p>
      <w:pPr>
        <w:pStyle w:val="Heading2"/>
      </w:pPr>
      <w:r>
        <w:t xml:space="preserve">7. Expected Outcomes and Impact</w:t>
      </w:r>
    </w:p>
    <w:p>
      <w:pPr>
        <w:pStyle w:val="FirstParagraph"/>
      </w:pPr>
      <w:r>
        <w:t xml:space="preserve">We anticipate that the intervention group will show statistically significant improvements in service access and social cohesion compared to the control group. This Experiment Protocol aims to provide a replicable model for how professional Social Workers can be integrated into the urban governance framework of Pakistan Islamabad. By demonstrating the tangible benefits of social work, we hope to influence policy decisions and encourage greater investment in human capital development within the capital city.</w:t>
      </w:r>
    </w:p>
    <w:bookmarkEnd w:id="30"/>
    <w:p>
      <w:pPr>
        <w:pStyle w:val="BodyText"/>
      </w:pPr>
      <w:r>
        <w:t xml:space="preserve">© 2023 Social Research Initiative Pakistan. All rights reserved.</w:t>
      </w:r>
    </w:p>
    <w:p>
      <w:pPr>
        <w:pStyle w:val="BodyText"/>
      </w:pPr>
      <w:r>
        <w:t xml:space="preserve">This document is for academic and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Pakistan Islamabad</dc:title>
  <dc:creator/>
  <dc:language>en</dc:language>
  <cp:keywords/>
  <dcterms:created xsi:type="dcterms:W3CDTF">2026-10-10T03:00:08Z</dcterms:created>
  <dcterms:modified xsi:type="dcterms:W3CDTF">2026-10-10T03:00:08Z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