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Intervention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6" w:name="X94d5629bc35d3d0ad06950f865a6b198e18fad6"/>
    <w:p>
      <w:pPr>
        <w:pStyle w:val="Heading1"/>
      </w:pPr>
      <w:r>
        <w:t xml:space="preserve">Experiment Protocol: Community-Based Social Worker Intervention in Philippines Manila</w:t>
      </w:r>
    </w:p>
    <w:bookmarkStart w:id="20" w:name="title-and-identification"/>
    <w:p>
      <w:pPr>
        <w:pStyle w:val="Heading2"/>
      </w:pPr>
      <w:r>
        <w:t xml:space="preserve">1. Title and Identification</w:t>
      </w:r>
    </w:p>
    <w:p>
      <w:pPr>
        <w:pStyle w:val="FirstParagraph"/>
      </w:pPr>
      <w:r>
        <w:rPr>
          <w:bCs/>
          <w:b/>
        </w:rPr>
        <w:t xml:space="preserve">Protocol Title:</w:t>
      </w:r>
      <w:r>
        <w:t xml:space="preserve"> </w:t>
      </w:r>
      <w:r>
        <w:t xml:space="preserve">Evaluating the Efficacy of Integrated Social Worker Support Systems in Urban Barangays of Philippines Manila.</w:t>
      </w:r>
    </w:p>
    <w:p>
      <w:pPr>
        <w:pStyle w:val="BodyText"/>
      </w:pPr>
      <w:r>
        <w:rPr>
          <w:bCs/>
          <w:b/>
        </w:rPr>
        <w:t xml:space="preserve">Protocol ID:</w:t>
      </w:r>
      <w:r>
        <w:t xml:space="preserve"> </w:t>
      </w:r>
      <w:r>
        <w:t xml:space="preserve">PH-MNL-SW-2024-001</w:t>
      </w:r>
    </w:p>
    <w:p>
      <w:pPr>
        <w:pStyle w:val="BodyText"/>
      </w:pPr>
      <w:r>
        <w:rPr>
          <w:bCs/>
          <w:b/>
        </w:rPr>
        <w:t xml:space="preserve">Principal Investigator:</w:t>
      </w:r>
      <w:r>
        <w:t xml:space="preserve"> </w:t>
      </w:r>
      <w:r>
        <w:t xml:space="preserve">[Name Redacted]</w:t>
      </w:r>
    </w:p>
    <w:p>
      <w:pPr>
        <w:pStyle w:val="BodyText"/>
      </w:pPr>
      <w:r>
        <w:rPr>
          <w:bCs/>
          <w:b/>
        </w:rPr>
        <w:t xml:space="preserve">Affiliation:</w:t>
      </w:r>
      <w:r>
        <w:t xml:space="preserve"> </w:t>
      </w:r>
      <w:r>
        <w:t xml:space="preserve">Department of Social Welfare and Development (DSWD) Research Division / Partner Academic Institution.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bookmarkStart w:id="21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The urban landscape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presents unique challenges for vulnerable populations, including informal settlers, out-of-school youth, and single-parent households. While the Department of Social Welfare and Development (DSWD) provides essential services, the ratio of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professionals to beneficiaries remains critically low.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aims to test a new model of community-based intervention where licensed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professionals utilize a hybrid approach combining traditional casework with digital case management tools.</w:t>
      </w:r>
    </w:p>
    <w:p>
      <w:pPr>
        <w:pStyle w:val="BodyText"/>
      </w:pPr>
      <w:r>
        <w:t xml:space="preserve">The primary objective is to determine if this intensified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engagement in specific barangays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leads to statistically significant improvements in household economic stability and psychosocial well-being compared to standard care protocols.</w:t>
      </w:r>
    </w:p>
    <w:bookmarkEnd w:id="21"/>
    <w:bookmarkStart w:id="24" w:name="objectives"/>
    <w:p>
      <w:pPr>
        <w:pStyle w:val="Heading2"/>
      </w:pPr>
      <w:r>
        <w:t xml:space="preserve">3. Objectives</w:t>
      </w:r>
    </w:p>
    <w:bookmarkStart w:id="22" w:name="primary-objective"/>
    <w:p>
      <w:pPr>
        <w:pStyle w:val="Heading3"/>
      </w:pPr>
      <w:r>
        <w:t xml:space="preserve">3.1 Primary Objective</w:t>
      </w:r>
    </w:p>
    <w:p>
      <w:pPr>
        <w:pStyle w:val="FirstParagraph"/>
      </w:pPr>
      <w:r>
        <w:t xml:space="preserve">To measure the impact of a dedicated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intervention program on the reduction of poverty indicators among low-income families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over a 12-month period.</w:t>
      </w:r>
    </w:p>
    <w:bookmarkEnd w:id="22"/>
    <w:bookmarkStart w:id="23" w:name="secondary-objectives"/>
    <w:p>
      <w:pPr>
        <w:pStyle w:val="Heading3"/>
      </w:pPr>
      <w:r>
        <w:t xml:space="preserve">3.2 Secondary Objectives</w:t>
      </w:r>
    </w:p>
    <w:p>
      <w:pPr>
        <w:numPr>
          <w:ilvl w:val="0"/>
          <w:numId w:val="1001"/>
        </w:numPr>
        <w:pStyle w:val="Compact"/>
      </w:pPr>
      <w:r>
        <w:t xml:space="preserve">To assess the mental health outcomes of beneficiaries receiving regular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counseling.</w:t>
      </w:r>
    </w:p>
    <w:p>
      <w:pPr>
        <w:numPr>
          <w:ilvl w:val="0"/>
          <w:numId w:val="1001"/>
        </w:numPr>
        <w:pStyle w:val="Compact"/>
      </w:pPr>
      <w:r>
        <w:t xml:space="preserve">To evaluate the efficiency of digital tools used by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 tracking client progress within the dense urban environment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identify barriers faced by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 delivering services in high-density urban areas.</w:t>
      </w:r>
    </w:p>
    <w:bookmarkEnd w:id="23"/>
    <w:bookmarkEnd w:id="24"/>
    <w:bookmarkStart w:id="28" w:name="methodology"/>
    <w:p>
      <w:pPr>
        <w:pStyle w:val="Heading2"/>
      </w:pPr>
      <w:r>
        <w:t xml:space="preserve">4. Methodology</w:t>
      </w:r>
    </w:p>
    <w:bookmarkStart w:id="25" w:name="study-design"/>
    <w:p>
      <w:pPr>
        <w:pStyle w:val="Heading3"/>
      </w:pPr>
      <w:r>
        <w:t xml:space="preserve">4.1 Study Design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employs a quasi-experimental design with a control group. The study will be conducted in two selected districts within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known for high population density and socioeconomic vulnerability.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Intervention Group:</w:t>
      </w:r>
      <w:r>
        <w:t xml:space="preserve"> </w:t>
      </w:r>
      <w:r>
        <w:t xml:space="preserve">Barangays where a dedicated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is assigned to a caseload of 50 families, providing weekly visits and digital support.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Control Group:</w:t>
      </w:r>
      <w:r>
        <w:t xml:space="preserve"> </w:t>
      </w:r>
      <w:r>
        <w:t xml:space="preserve">Barangays where families receive standard government assistance without the intensive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engagement model.</w:t>
      </w:r>
    </w:p>
    <w:bookmarkEnd w:id="25"/>
    <w:bookmarkStart w:id="26" w:name="participants"/>
    <w:p>
      <w:pPr>
        <w:pStyle w:val="Heading3"/>
      </w:pPr>
      <w:r>
        <w:t xml:space="preserve">4.2 Participants</w:t>
      </w:r>
    </w:p>
    <w:p>
      <w:pPr>
        <w:pStyle w:val="FirstParagraph"/>
      </w:pPr>
      <w:r>
        <w:t xml:space="preserve">The target population consists of 400 households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Inclusion criteria include:</w:t>
      </w:r>
    </w:p>
    <w:p>
      <w:pPr>
        <w:numPr>
          <w:ilvl w:val="0"/>
          <w:numId w:val="1003"/>
        </w:numPr>
        <w:pStyle w:val="Compact"/>
      </w:pPr>
      <w:r>
        <w:t xml:space="preserve">Residency in the selected barangays for at least 2 years.</w:t>
      </w:r>
    </w:p>
    <w:p>
      <w:pPr>
        <w:numPr>
          <w:ilvl w:val="0"/>
          <w:numId w:val="1003"/>
        </w:numPr>
        <w:pStyle w:val="Compact"/>
      </w:pPr>
      <w:r>
        <w:t xml:space="preserve">Household income below the poverty threshold defined by the Philippine Statistics Authority.</w:t>
      </w:r>
    </w:p>
    <w:p>
      <w:pPr>
        <w:numPr>
          <w:ilvl w:val="0"/>
          <w:numId w:val="1003"/>
        </w:numPr>
        <w:pStyle w:val="Compact"/>
      </w:pPr>
      <w:r>
        <w:t xml:space="preserve">Presence of at least one dependent child or elderly member.</w:t>
      </w:r>
    </w:p>
    <w:bookmarkEnd w:id="26"/>
    <w:bookmarkStart w:id="27" w:name="intervention-procedure"/>
    <w:p>
      <w:pPr>
        <w:pStyle w:val="Heading3"/>
      </w:pPr>
      <w:r>
        <w:t xml:space="preserve">4.3 Intervention Procedure</w:t>
      </w:r>
    </w:p>
    <w:p>
      <w:pPr>
        <w:pStyle w:val="FirstParagraph"/>
      </w:pPr>
      <w:r>
        <w:t xml:space="preserve">The core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the role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. Selected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professionals will undergo training in trauma-informed care and digital literacy. The intervention includes: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Assessment:</w:t>
      </w:r>
      <w:r>
        <w:t xml:space="preserve"> </w:t>
      </w:r>
      <w:r>
        <w:t xml:space="preserve">Comprehensive biopsychosocial assessment of each family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Case Planning:</w:t>
      </w:r>
      <w:r>
        <w:t xml:space="preserve"> </w:t>
      </w:r>
      <w:r>
        <w:t xml:space="preserve">Development of individualized family development plans.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Resource Linkage:</w:t>
      </w:r>
      <w:r>
        <w:t xml:space="preserve"> </w:t>
      </w:r>
      <w:r>
        <w:t xml:space="preserve">Connecting families to livelihood programs, healthcare, and education services available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Monitoring:</w:t>
      </w:r>
      <w:r>
        <w:t xml:space="preserve"> </w:t>
      </w:r>
      <w:r>
        <w:t xml:space="preserve">Weekly check-ins via home visits or secure messaging platforms.</w:t>
      </w:r>
    </w:p>
    <w:bookmarkEnd w:id="27"/>
    <w:bookmarkEnd w:id="28"/>
    <w:bookmarkStart w:id="31" w:name="data-collection-and-analysis"/>
    <w:p>
      <w:pPr>
        <w:pStyle w:val="Heading2"/>
      </w:pPr>
      <w:r>
        <w:t xml:space="preserve">5. Data Collection and Analysis</w:t>
      </w:r>
    </w:p>
    <w:bookmarkStart w:id="29" w:name="data-collection-tools"/>
    <w:p>
      <w:pPr>
        <w:pStyle w:val="Heading3"/>
      </w:pPr>
      <w:r>
        <w:t xml:space="preserve">5.1 Data Collection Tools</w:t>
      </w:r>
    </w:p>
    <w:p>
      <w:pPr>
        <w:pStyle w:val="FirstParagraph"/>
      </w:pPr>
      <w:r>
        <w:t xml:space="preserve">Data will be collected at baseline, 6 months, and 12 months. Tools include:</w:t>
      </w:r>
    </w:p>
    <w:p>
      <w:pPr>
        <w:numPr>
          <w:ilvl w:val="0"/>
          <w:numId w:val="1005"/>
        </w:numPr>
        <w:pStyle w:val="Compact"/>
      </w:pPr>
      <w:r>
        <w:t xml:space="preserve">Standardized poverty assessment questionnaires.</w:t>
      </w:r>
    </w:p>
    <w:p>
      <w:pPr>
        <w:numPr>
          <w:ilvl w:val="0"/>
          <w:numId w:val="1005"/>
        </w:numPr>
        <w:pStyle w:val="Compact"/>
      </w:pPr>
      <w:r>
        <w:t xml:space="preserve">Psychosocial well-being scales validated for use in the Philippines.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Worker</w:t>
      </w:r>
      <w:r>
        <w:t xml:space="preserve"> </w:t>
      </w:r>
      <w:r>
        <w:t xml:space="preserve">case logs and digital platform usage metrics.</w:t>
      </w:r>
    </w:p>
    <w:bookmarkEnd w:id="29"/>
    <w:bookmarkStart w:id="30" w:name="data-analysis"/>
    <w:p>
      <w:pPr>
        <w:pStyle w:val="Heading3"/>
      </w:pPr>
      <w:r>
        <w:t xml:space="preserve">5.2 Data Analysis</w:t>
      </w:r>
    </w:p>
    <w:p>
      <w:pPr>
        <w:pStyle w:val="FirstParagraph"/>
      </w:pPr>
      <w:r>
        <w:t xml:space="preserve">Quantitative data will be analyzed using statistical software to compare outcomes between the intervention and control groups. Qualitative data from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interviews will be analyzed thematically to understand contextual challenges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</w:t>
      </w:r>
    </w:p>
    <w:bookmarkEnd w:id="30"/>
    <w:bookmarkEnd w:id="31"/>
    <w:bookmarkStart w:id="32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adheres to the ethical standards of the Philippine Code of Ethics for Social Workers and the Declaration of Helsinki. Key considerations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must provide written informed consent in their preferred language.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Data collected by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will be anonymized and stored securely.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Non-Maleficence: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must ensure that the intervention does not cause harm or undue stress to vulnerable families.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Equity:</w:t>
      </w:r>
      <w:r>
        <w:t xml:space="preserve"> </w:t>
      </w:r>
      <w:r>
        <w:t xml:space="preserve">Control group participants will be offered the intervention after the study concludes.</w:t>
      </w:r>
    </w:p>
    <w:bookmarkEnd w:id="32"/>
    <w:bookmarkStart w:id="33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t xml:space="preserve">Working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involves specific risks.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includes safety guidelines for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, such as:</w:t>
      </w:r>
    </w:p>
    <w:p>
      <w:pPr>
        <w:numPr>
          <w:ilvl w:val="0"/>
          <w:numId w:val="1007"/>
        </w:numPr>
        <w:pStyle w:val="Compact"/>
      </w:pPr>
      <w:r>
        <w:t xml:space="preserve">Mandatory buddy system for home visits in high-risk areas.</w:t>
      </w:r>
    </w:p>
    <w:p>
      <w:pPr>
        <w:numPr>
          <w:ilvl w:val="0"/>
          <w:numId w:val="1007"/>
        </w:numPr>
        <w:pStyle w:val="Compact"/>
      </w:pPr>
      <w:r>
        <w:t xml:space="preserve">Regular debriefing sessions to prevent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burnout.</w:t>
      </w:r>
    </w:p>
    <w:p>
      <w:pPr>
        <w:numPr>
          <w:ilvl w:val="0"/>
          <w:numId w:val="1007"/>
        </w:numPr>
        <w:pStyle w:val="Compact"/>
      </w:pPr>
      <w:r>
        <w:t xml:space="preserve">Emergency protocols for natural disasters or civil unrest.</w:t>
      </w:r>
    </w:p>
    <w:bookmarkEnd w:id="33"/>
    <w:bookmarkStart w:id="34" w:name="timeline"/>
    <w:p>
      <w:pPr>
        <w:pStyle w:val="Heading2"/>
      </w:pPr>
      <w:r>
        <w:t xml:space="preserve">8.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of</w:t>
            </w:r>
            <w:r>
              <w:t xml:space="preserve"> </w:t>
            </w:r>
            <w:r>
              <w:rPr>
                <w:bCs/>
                <w:b/>
              </w:rPr>
              <w:t xml:space="preserve">Social Worker</w:t>
            </w:r>
            <w:r>
              <w:t xml:space="preserve">, training, ethical clearance.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Baseline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assessment of households in</w:t>
            </w:r>
            <w:r>
              <w:t xml:space="preserve"> </w:t>
            </w:r>
            <w:r>
              <w:rPr>
                <w:bCs/>
                <w:b/>
              </w:rPr>
              <w:t xml:space="preserve">Philippines Manila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Intervention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4-15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Implementation of</w:t>
            </w:r>
            <w:r>
              <w:t xml:space="preserve"> </w:t>
            </w:r>
            <w:r>
              <w:rPr>
                <w:bCs/>
                <w:b/>
              </w:rPr>
              <w:t xml:space="preserve">Social Worker</w:t>
            </w:r>
            <w:r>
              <w:t xml:space="preserve"> </w:t>
            </w:r>
            <w:r>
              <w:t xml:space="preserve">support program.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Mid-Term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Preliminary data analysis and protocol adjustment.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16-18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data collection, analysis, and reporting.</w:t>
            </w:r>
          </w:p>
        </w:tc>
      </w:tr>
    </w:tbl>
    <w:bookmarkEnd w:id="34"/>
    <w:bookmarkStart w:id="35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seeks to provide evidence-based insights into how optimized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interventions can transform lives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By rigorously testing this model, we aim to contribute to policy recommendations that enhance social welfare delivery in one of the world's most dynamic urban centers.</w:t>
      </w:r>
    </w:p>
    <w:bookmarkEnd w:id="35"/>
    <w:p>
      <w:pPr>
        <w:pStyle w:val="BodyText"/>
      </w:pPr>
      <w:r>
        <w:t xml:space="preserve">© 2023 Social Welfare Research Initiative. All rights reserved. This document is confidential and intended for authorized personnel only.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Social Worker Intervention in Philippines Manila</dc:title>
  <dc:creator/>
  <dc:language>en</dc:language>
  <cp:keywords/>
  <dcterms:created xsi:type="dcterms:W3CDTF">2026-10-10T01:53:28Z</dcterms:created>
  <dcterms:modified xsi:type="dcterms:W3CDTF">2026-10-10T01:53:28Z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