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Singapore</w:t>
      </w:r>
      <w:r>
        <w:t xml:space="preserve"> </w:t>
      </w:r>
      <w:r>
        <w:t xml:space="preserve">Singapore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Evaluating the Efficacy of Integrated Digital-First Social Worker Interventions in Singapore Singapore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National University of Singapore Singapore / Ministry of Social and Family Development</w:t>
      </w:r>
    </w:p>
    <w:bookmarkEnd w:id="20"/>
    <w:p>
      <w:pPr>
        <w:pStyle w:val="BodyText"/>
      </w:pPr>
      <w:r>
        <w:t xml:space="preserve">1. Introduction and Background</w:t>
      </w:r>
    </w:p>
    <w:p>
      <w:pPr>
        <w:pStyle w:val="BodyText"/>
      </w:pPr>
      <w:r>
        <w:t xml:space="preserve">This Experiment Protocol outlines the methodology for a randomized controlled trial (RCT) designed to assess the impact of a novel, technology-enhanced intervention model delivered by a Social Worker within the unique socio-cultural context of Singapore Singapore. As Singapore Singapore continues to urbanize and face demographic shifts, including an aging population and increasing mental health awareness, the role of the Social Worker has evolved.</w:t>
      </w:r>
    </w:p>
    <w:p>
      <w:pPr>
        <w:pStyle w:val="BodyText"/>
      </w:pPr>
      <w:r>
        <w:t xml:space="preserve">Traditional face-to-face counseling remains the gold standard; however, resource constraints and the digital-savvy nature of the population in Singapore Singapore necessitate the exploration of hybrid models. This study aims to determine if a "Digital-First" approach, where the Social Worker utilizes secure telehealth platforms and AI-assisted triage tools prior to in-person meetings, yields comparable or superior outcomes to traditional methods.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effectiveness of the Digital-First Social Worker intervention on reducing anxiety and depression scores among participants in Singapore Singapore.</w:t>
      </w:r>
    </w:p>
    <w:p>
      <w:pPr>
        <w:numPr>
          <w:ilvl w:val="0"/>
          <w:numId w:val="1001"/>
        </w:numPr>
        <w:pStyle w:val="Compact"/>
      </w:pPr>
      <w:r>
        <w:t xml:space="preserve">To assess client satisfaction and perceived accessibility of services provided by the Social Worker.</w:t>
      </w:r>
    </w:p>
    <w:p>
      <w:pPr>
        <w:numPr>
          <w:ilvl w:val="0"/>
          <w:numId w:val="1001"/>
        </w:numPr>
        <w:pStyle w:val="Compact"/>
      </w:pPr>
      <w:r>
        <w:t xml:space="preserve">To analyze the operational efficiency for the Social Worker, specifically regarding caseload management and time allocation.</w:t>
      </w:r>
    </w:p>
    <w:p>
      <w:pPr>
        <w:numPr>
          <w:ilvl w:val="0"/>
          <w:numId w:val="1001"/>
        </w:numPr>
        <w:pStyle w:val="Compact"/>
      </w:pPr>
      <w:r>
        <w:t xml:space="preserve">To ensure all interventions comply with the Personal Data Protection Act (PDPA) of Singapore Singapore.</w:t>
      </w:r>
    </w:p>
    <w:p>
      <w:pPr>
        <w:pStyle w:val="FirstParagraph"/>
      </w:pPr>
      <w:r>
        <w:t xml:space="preserve">3. Study Design</w:t>
      </w:r>
    </w:p>
    <w:p>
      <w:pPr>
        <w:pStyle w:val="BodyText"/>
      </w:pPr>
      <w:r>
        <w:t xml:space="preserve">This study will employ a parallel-group, randomized controlled trial design. Participants will be recruited from community centers and social service agencies across Singapore Singapore. Upon consent, participants will be randomly assigned to one of two groups: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Group</w:t>
            </w:r>
          </w:p>
        </w:tc>
        <w:tc>
          <w:tcPr/>
          <w:p>
            <w:pPr>
              <w:pStyle w:val="Compact"/>
              <w:jc w:val="left"/>
            </w:pPr>
            <w:r>
              <w:t xml:space="preserve">Intervention Description</w:t>
            </w:r>
          </w:p>
        </w:tc>
      </w:tr>
      <w:tr>
        <w:tc>
          <w:tcPr/>
          <w:p>
            <w:pPr>
              <w:pStyle w:val="Compact"/>
              <w:jc w:val="left"/>
            </w:pPr>
            <w:r>
              <w:t xml:space="preserve">Control Group (A)</w:t>
            </w:r>
          </w:p>
        </w:tc>
        <w:tc>
          <w:tcPr/>
          <w:p>
            <w:pPr>
              <w:pStyle w:val="Compact"/>
              <w:jc w:val="left"/>
            </w:pPr>
            <w:r>
              <w:t xml:space="preserve">Standard Care: Traditional face-to-face sessions with a Social Worker, scheduled via phone or email, without preliminary digital assessment tools.</w:t>
            </w:r>
          </w:p>
        </w:tc>
      </w:tr>
      <w:tr>
        <w:tc>
          <w:tcPr/>
          <w:p>
            <w:pPr>
              <w:pStyle w:val="Compact"/>
              <w:jc w:val="left"/>
            </w:pPr>
            <w:r>
              <w:t xml:space="preserve">Intervention Group (B)</w:t>
            </w:r>
          </w:p>
        </w:tc>
        <w:tc>
          <w:tcPr/>
          <w:p>
            <w:pPr>
              <w:pStyle w:val="Compact"/>
              <w:jc w:val="left"/>
            </w:pPr>
            <w:r>
              <w:t xml:space="preserve">Digital-First: Initial assessment via a secure mobile application, followed by a triage session with a Social Worker via video call, and subsequent hybrid sessions.</w:t>
            </w:r>
          </w:p>
        </w:tc>
      </w:tr>
    </w:tbl>
    <w:p>
      <w:pPr>
        <w:pStyle w:val="BodyText"/>
      </w:pPr>
      <w:r>
        <w:t xml:space="preserve">4. Participant Eligibility</w:t>
      </w:r>
    </w:p>
    <w:p>
      <w:pPr>
        <w:pStyle w:val="BodyText"/>
      </w:pPr>
      <w:r>
        <w:t xml:space="preserve">To ensure the validity of the Experiment Protocol within the Singapore Singapore context, the following criteria apply:</w:t>
      </w:r>
    </w:p>
    <w:p>
      <w:pPr>
        <w:pStyle w:val="BodyText"/>
      </w:pPr>
      <w:r>
        <w:rPr>
          <w:bCs/>
          <w:b/>
        </w:rPr>
        <w:t xml:space="preserve">Inclusion Criteria:</w:t>
      </w:r>
    </w:p>
    <w:p>
      <w:pPr>
        <w:numPr>
          <w:ilvl w:val="0"/>
          <w:numId w:val="1002"/>
        </w:numPr>
        <w:pStyle w:val="Compact"/>
      </w:pPr>
      <w:r>
        <w:t xml:space="preserve">Residents of Singapore Singapore aged 18 to 65.</w:t>
      </w:r>
    </w:p>
    <w:p>
      <w:pPr>
        <w:numPr>
          <w:ilvl w:val="0"/>
          <w:numId w:val="1002"/>
        </w:numPr>
        <w:pStyle w:val="Compact"/>
      </w:pPr>
      <w:r>
        <w:t xml:space="preserve">Currently experiencing mild to moderate psychological distress (screened via PHQ-9 and GAD-7).</w:t>
      </w:r>
    </w:p>
    <w:p>
      <w:pPr>
        <w:numPr>
          <w:ilvl w:val="0"/>
          <w:numId w:val="1002"/>
        </w:numPr>
        <w:pStyle w:val="Compact"/>
      </w:pPr>
      <w:r>
        <w:t xml:space="preserve">Proficient in English, Mandarin, Malay, or Tamil (languages supported by the Social Worker).</w:t>
      </w:r>
    </w:p>
    <w:p>
      <w:pPr>
        <w:numPr>
          <w:ilvl w:val="0"/>
          <w:numId w:val="1002"/>
        </w:numPr>
        <w:pStyle w:val="Compact"/>
      </w:pPr>
      <w:r>
        <w:t xml:space="preserve">Access to a smartphone or computer with internet connectivity.</w:t>
      </w:r>
    </w:p>
    <w:p>
      <w:pPr>
        <w:pStyle w:val="FirstParagraph"/>
      </w:pPr>
      <w:r>
        <w:rPr>
          <w:bCs/>
          <w:b/>
        </w:rPr>
        <w:t xml:space="preserve">Exclusion Criteria:</w:t>
      </w:r>
    </w:p>
    <w:p>
      <w:pPr>
        <w:numPr>
          <w:ilvl w:val="0"/>
          <w:numId w:val="1003"/>
        </w:numPr>
        <w:pStyle w:val="Compact"/>
      </w:pPr>
      <w:r>
        <w:t xml:space="preserve">History of severe psychiatric disorders requiring immediate hospitalization.</w:t>
      </w:r>
    </w:p>
    <w:p>
      <w:pPr>
        <w:numPr>
          <w:ilvl w:val="0"/>
          <w:numId w:val="1003"/>
        </w:numPr>
        <w:pStyle w:val="Compact"/>
      </w:pPr>
      <w:r>
        <w:t xml:space="preserve">Current involvement in another clinical trial.</w:t>
      </w:r>
    </w:p>
    <w:p>
      <w:pPr>
        <w:numPr>
          <w:ilvl w:val="0"/>
          <w:numId w:val="1003"/>
        </w:numPr>
        <w:pStyle w:val="Compact"/>
      </w:pPr>
      <w:r>
        <w:t xml:space="preserve">Inability to provide informed consent.</w:t>
      </w:r>
    </w:p>
    <w:p>
      <w:pPr>
        <w:pStyle w:val="FirstParagraph"/>
      </w:pPr>
      <w:r>
        <w:t xml:space="preserve">5. Intervention Procedures</w:t>
      </w:r>
    </w:p>
    <w:p>
      <w:pPr>
        <w:pStyle w:val="BodyText"/>
      </w:pPr>
      <w:r>
        <w:t xml:space="preserve">The core of this Experiment Protocol revolves around the actions of the Social Worker. All Social Workers involved must be registered with the Social Work Board of Singapore Singapore and possess at least three years of clinical experience.</w:t>
      </w:r>
    </w:p>
    <w:p>
      <w:pPr>
        <w:pStyle w:val="BodyText"/>
      </w:pPr>
      <w:r>
        <w:rPr>
          <w:bCs/>
          <w:b/>
        </w:rPr>
        <w:t xml:space="preserve">For the Intervention Group:</w:t>
      </w:r>
      <w:r>
        <w:t xml:space="preserve"> </w:t>
      </w:r>
      <w:r>
        <w:t xml:space="preserve">The Social Worker will review digital intake forms completed by the client. This allows the Social Worker to identify key risk factors and cultural nuances specific to the client's background in Singapore Singapore before the first interaction. The initial session will focus on building rapport via video, leveraging the data gathered to personalize the care plan.</w:t>
      </w:r>
    </w:p>
    <w:p>
      <w:pPr>
        <w:pStyle w:val="BodyText"/>
      </w:pPr>
      <w:r>
        <w:rPr>
          <w:bCs/>
          <w:b/>
        </w:rPr>
        <w:t xml:space="preserve">For the Control Group:</w:t>
      </w:r>
      <w:r>
        <w:t xml:space="preserve"> </w:t>
      </w:r>
      <w:r>
        <w:t xml:space="preserve">The Social Worker will conduct standard intake interviews during the first face-to-face meeting, following the established protocols of the Ministry of Social and Family Development.</w:t>
      </w:r>
    </w:p>
    <w:p>
      <w:pPr>
        <w:pStyle w:val="BodyText"/>
      </w:pPr>
      <w:r>
        <w:t xml:space="preserve">6. Data Collection and Metrics</w:t>
      </w:r>
    </w:p>
    <w:p>
      <w:pPr>
        <w:pStyle w:val="BodyText"/>
      </w:pPr>
      <w:r>
        <w:t xml:space="preserve">Data will be collected at baseline (Week 0), mid-intervention (Week 6), and post-intervention (Week 12). Key metrics include:</w:t>
      </w:r>
    </w:p>
    <w:p>
      <w:pPr>
        <w:numPr>
          <w:ilvl w:val="0"/>
          <w:numId w:val="1004"/>
        </w:numPr>
        <w:pStyle w:val="Compact"/>
      </w:pPr>
      <w:r>
        <w:rPr>
          <w:bCs/>
          <w:b/>
        </w:rPr>
        <w:t xml:space="preserve">Clinical Outcomes:</w:t>
      </w:r>
      <w:r>
        <w:t xml:space="preserve"> </w:t>
      </w:r>
      <w:r>
        <w:t xml:space="preserve">Changes in PHQ-9 (Depression) and GAD-7 (Anxiety) scores.</w:t>
      </w:r>
    </w:p>
    <w:p>
      <w:pPr>
        <w:numPr>
          <w:ilvl w:val="0"/>
          <w:numId w:val="1004"/>
        </w:numPr>
        <w:pStyle w:val="Compact"/>
      </w:pPr>
      <w:r>
        <w:rPr>
          <w:bCs/>
          <w:b/>
        </w:rPr>
        <w:t xml:space="preserve">Process Measures:</w:t>
      </w:r>
      <w:r>
        <w:t xml:space="preserve"> </w:t>
      </w:r>
      <w:r>
        <w:t xml:space="preserve">Number of sessions attended, duration of sessions, and no-show rates.</w:t>
      </w:r>
    </w:p>
    <w:p>
      <w:pPr>
        <w:numPr>
          <w:ilvl w:val="0"/>
          <w:numId w:val="1004"/>
        </w:numPr>
        <w:pStyle w:val="Compact"/>
      </w:pPr>
      <w:r>
        <w:rPr>
          <w:bCs/>
          <w:b/>
        </w:rPr>
        <w:t xml:space="preserve">Social Worker Burden:</w:t>
      </w:r>
      <w:r>
        <w:t xml:space="preserve"> </w:t>
      </w:r>
      <w:r>
        <w:t xml:space="preserve">Self-reported workload and burnout levels using the Maslach Burnout Inventory.</w:t>
      </w:r>
    </w:p>
    <w:p>
      <w:pPr>
        <w:numPr>
          <w:ilvl w:val="0"/>
          <w:numId w:val="1004"/>
        </w:numPr>
        <w:pStyle w:val="Compact"/>
      </w:pPr>
      <w:r>
        <w:rPr>
          <w:bCs/>
          <w:b/>
        </w:rPr>
        <w:t xml:space="preserve">Client Feedback:</w:t>
      </w:r>
      <w:r>
        <w:t xml:space="preserve"> </w:t>
      </w:r>
      <w:r>
        <w:t xml:space="preserve">Satisfaction surveys regarding the ease of access and quality of care in the Singapore Singapore setting.</w:t>
      </w:r>
    </w:p>
    <w:p>
      <w:pPr>
        <w:pStyle w:val="FirstParagraph"/>
      </w:pPr>
      <w:r>
        <w:t xml:space="preserve">7. Ethical Considerations and Compliance</w:t>
      </w:r>
    </w:p>
    <w:p>
      <w:pPr>
        <w:pStyle w:val="BodyText"/>
      </w:pPr>
      <w:r>
        <w:t xml:space="preserve">This Experiment Protocol strictly adheres to the ethical guidelines set forth by the National Healthcare Group Domain Specific Review Board in Singapore Singapore. Informed consent will be obtained from all participants. Special attention is paid to data privacy under the PDPA. All digital platforms used by the Social Worker will be encrypted and hosted locally within Singapore Singapore to ensure data sovereignty.</w:t>
      </w:r>
    </w:p>
    <w:p>
      <w:pPr>
        <w:pStyle w:val="BodyText"/>
      </w:pPr>
      <w:r>
        <w:t xml:space="preserve">Confidentiality is paramount. The Social Worker will ensure that no personally identifiable information is shared outside the research team without explicit permission. Participants may withdraw from the study at any time without penalty or loss of access to standard social services.</w:t>
      </w:r>
    </w:p>
    <w:p>
      <w:pPr>
        <w:pStyle w:val="BodyText"/>
      </w:pPr>
      <w:r>
        <w:t xml:space="preserve">8. Risk Management</w:t>
      </w:r>
    </w:p>
    <w:p>
      <w:pPr>
        <w:pStyle w:val="BodyText"/>
      </w:pPr>
      <w:r>
        <w:t xml:space="preserve">Potential risks include technical failures during digital sessions and the possibility of increased isolation for vulnerable clients. To mitigate this, the Social Worker will maintain a protocol for immediate escalation to emergency services if a client in Singapore Singapore is deemed at risk of self-harm. Backup communication channels (phone calls) will be established for all participants in the Digital-First group.</w:t>
      </w:r>
    </w:p>
    <w:p>
      <w:pPr>
        <w:pStyle w:val="BodyText"/>
      </w:pPr>
      <w:r>
        <w:t xml:space="preserve">9. Conclusion</w:t>
      </w:r>
    </w:p>
    <w:p>
      <w:pPr>
        <w:pStyle w:val="BodyText"/>
      </w:pPr>
      <w:r>
        <w:t xml:space="preserve">This Experiment Protocol provides a structured framework for investigating the future of social work in Singapore Singapore. By rigorously testing the integration of digital tools with the professional expertise of the Social Worker, this study aims to contribute valuable evidence to policy-making and clinical practice, ultimately enhancing the well-being of the community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Singapore Singapore</dc:title>
  <dc:creator/>
  <dc:language>en</dc:language>
  <cp:keywords/>
  <dcterms:created xsi:type="dcterms:W3CDTF">2026-10-10T08:00:57Z</dcterms:created>
  <dcterms:modified xsi:type="dcterms:W3CDTF">2026-10-10T08:00:57Z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