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Thailand</w:t>
      </w:r>
      <w:r>
        <w:t xml:space="preserve"> </w:t>
      </w:r>
      <w:r>
        <w:t xml:space="preserve">Bangkok</w:t>
      </w:r>
    </w:p>
    <w:bookmarkStart w:id="33" w:name="X2c72f29623c8de8d7874e50a107fdaf79fd8f16"/>
    <w:p>
      <w:pPr>
        <w:pStyle w:val="Heading1"/>
      </w:pPr>
      <w:r>
        <w:t xml:space="preserve">Experiment Protocol: Community-Based Social Worker Intervention in Thailand Bangkok</w:t>
      </w:r>
    </w:p>
    <w:p>
      <w:pPr>
        <w:pStyle w:val="FirstParagraph"/>
      </w:pPr>
      <w:r>
        <w:rPr>
          <w:bCs/>
          <w:b/>
        </w:rPr>
        <w:t xml:space="preserve">Protocol ID:</w:t>
      </w:r>
      <w:r>
        <w:t xml:space="preserve"> </w:t>
      </w:r>
      <w:r>
        <w:t xml:space="preserve">TH-BKK-SW-2024-001</w:t>
      </w:r>
      <w:r>
        <w:br/>
      </w:r>
      <w:r>
        <w:rPr>
          <w:bCs/>
          <w:b/>
        </w:rPr>
        <w:t xml:space="preserve">Location:</w:t>
      </w:r>
      <w:r>
        <w:t xml:space="preserve"> </w:t>
      </w:r>
      <w:r>
        <w:t xml:space="preserve">Thailand Bangkok</w:t>
      </w:r>
      <w:r>
        <w:br/>
      </w:r>
      <w:r>
        <w:rPr>
          <w:bCs/>
          <w:b/>
        </w:rPr>
        <w:t xml:space="preserve">Subject:</w:t>
      </w:r>
      <w:r>
        <w:t xml:space="preserve"> </w:t>
      </w:r>
      <w:r>
        <w:t xml:space="preserve">Social Worker Efficacy in Urban Community Support</w:t>
      </w:r>
      <w:r>
        <w:br/>
      </w: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professional Social Worker interventions within the urban landscape of Thailand Bangkok. As one of the most densely populated and rapidly developing cities in Southeast Asia, Thailand Bangkok presents unique challenges regarding social welfare, including income inequality, housing insecurity, and mental health accessibility. The role of the Social Worker in this context is critical, yet empirical data regarding the specific efficacy of localized interventions remains limited. This experiment aims to bridge that gap by implementing a structured intervention program and measuring its outcomes against a control group.</w:t>
      </w:r>
    </w:p>
    <w:bookmarkEnd w:id="20"/>
    <w:bookmarkStart w:id="21" w:name="objectives"/>
    <w:p>
      <w:pPr>
        <w:pStyle w:val="Heading2"/>
      </w:pPr>
      <w:r>
        <w:t xml:space="preserve">2. Objectives</w:t>
      </w:r>
    </w:p>
    <w:p>
      <w:pPr>
        <w:pStyle w:val="FirstParagraph"/>
      </w:pPr>
      <w:r>
        <w:t xml:space="preserve">The primary objective of this experiment is to evaluate the effectiveness of a dedicated Social Worker-led support system in improving the quality of life for vulnerable populations in selected districts of Thailand Bangkok. Specific goals include:</w:t>
      </w:r>
    </w:p>
    <w:p>
      <w:pPr>
        <w:numPr>
          <w:ilvl w:val="0"/>
          <w:numId w:val="1001"/>
        </w:numPr>
        <w:pStyle w:val="Compact"/>
      </w:pPr>
      <w:r>
        <w:t xml:space="preserve">To measure changes in mental health indicators among participants receiving Social Worker support.</w:t>
      </w:r>
    </w:p>
    <w:p>
      <w:pPr>
        <w:numPr>
          <w:ilvl w:val="0"/>
          <w:numId w:val="1001"/>
        </w:numPr>
        <w:pStyle w:val="Compact"/>
      </w:pPr>
      <w:r>
        <w:t xml:space="preserve">To assess the improvement in access to essential services (healthcare, legal aid, housing) facilitated by the Social Worker.</w:t>
      </w:r>
    </w:p>
    <w:p>
      <w:pPr>
        <w:numPr>
          <w:ilvl w:val="0"/>
          <w:numId w:val="1001"/>
        </w:numPr>
        <w:pStyle w:val="Compact"/>
      </w:pPr>
      <w:r>
        <w:t xml:space="preserve">To analyze the cost-effectiveness of integrating professional Social Workers into existing community structures in Thailand Bangkok.</w:t>
      </w:r>
    </w:p>
    <w:p>
      <w:pPr>
        <w:numPr>
          <w:ilvl w:val="0"/>
          <w:numId w:val="1001"/>
        </w:numPr>
        <w:pStyle w:val="Compact"/>
      </w:pPr>
      <w:r>
        <w:t xml:space="preserve">To identify cultural and logistical barriers specific to the Thailand Bangkok environment that affect Social Worker performance.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Participants will be recruited from two distinct districts in Thailand Bangkok known for high concentrations of low-income households. The study will run for a period of twelve months. Participants will be randomly assigned to either the Intervention Group or the Control Group.</w:t>
      </w:r>
    </w:p>
    <w:bookmarkEnd w:id="22"/>
    <w:bookmarkStart w:id="23" w:name="intervention-group"/>
    <w:p>
      <w:pPr>
        <w:pStyle w:val="Heading3"/>
      </w:pPr>
      <w:r>
        <w:t xml:space="preserve">3.2 Intervention Group</w:t>
      </w:r>
    </w:p>
    <w:p>
      <w:pPr>
        <w:pStyle w:val="FirstParagraph"/>
      </w:pPr>
      <w:r>
        <w:t xml:space="preserve">Participants in the Intervention Group will be assigned a dedicated Social Worker. This Social Worker will provide:</w:t>
      </w:r>
    </w:p>
    <w:p>
      <w:pPr>
        <w:numPr>
          <w:ilvl w:val="0"/>
          <w:numId w:val="1002"/>
        </w:numPr>
        <w:pStyle w:val="Compact"/>
      </w:pPr>
      <w:r>
        <w:t xml:space="preserve">Weekly one-on-one counseling sessions.</w:t>
      </w:r>
    </w:p>
    <w:p>
      <w:pPr>
        <w:numPr>
          <w:ilvl w:val="0"/>
          <w:numId w:val="1002"/>
        </w:numPr>
        <w:pStyle w:val="Compact"/>
      </w:pPr>
      <w:r>
        <w:t xml:space="preserve">Assistance in navigating government welfare programs specific to Thailand.</w:t>
      </w:r>
    </w:p>
    <w:p>
      <w:pPr>
        <w:numPr>
          <w:ilvl w:val="0"/>
          <w:numId w:val="1002"/>
        </w:numPr>
        <w:pStyle w:val="Compact"/>
      </w:pPr>
      <w:r>
        <w:t xml:space="preserve">Referrals to local healthcare and legal resources within Thailand Bangkok.</w:t>
      </w:r>
    </w:p>
    <w:p>
      <w:pPr>
        <w:numPr>
          <w:ilvl w:val="0"/>
          <w:numId w:val="1002"/>
        </w:numPr>
        <w:pStyle w:val="Compact"/>
      </w:pPr>
      <w:r>
        <w:t xml:space="preserve">Community integration activities to foster social support networks.</w:t>
      </w:r>
    </w:p>
    <w:bookmarkEnd w:id="23"/>
    <w:bookmarkStart w:id="24" w:name="control-group"/>
    <w:p>
      <w:pPr>
        <w:pStyle w:val="Heading3"/>
      </w:pPr>
      <w:r>
        <w:t xml:space="preserve">3.3 Control Group</w:t>
      </w:r>
    </w:p>
    <w:p>
      <w:pPr>
        <w:pStyle w:val="FirstParagraph"/>
      </w:pPr>
      <w:r>
        <w:t xml:space="preserve">Participants in the Control Group will receive standard community services available in Thailand Bangkok but will not have access to a dedicated Social Worker for the duration of the experiment. They will be offered the intervention program after the study concludes.</w:t>
      </w:r>
    </w:p>
    <w:bookmarkEnd w:id="24"/>
    <w:bookmarkEnd w:id="25"/>
    <w:bookmarkStart w:id="26" w:name="participant-selection"/>
    <w:p>
      <w:pPr>
        <w:pStyle w:val="Heading2"/>
      </w:pPr>
      <w:r>
        <w:t xml:space="preserve">4. Participant Selection</w:t>
      </w:r>
    </w:p>
    <w:p>
      <w:pPr>
        <w:pStyle w:val="FirstParagraph"/>
      </w:pPr>
      <w:r>
        <w:t xml:space="preserve">Eligibility criteria for participants include:</w:t>
      </w:r>
    </w:p>
    <w:p>
      <w:pPr>
        <w:numPr>
          <w:ilvl w:val="0"/>
          <w:numId w:val="1003"/>
        </w:numPr>
        <w:pStyle w:val="Compact"/>
      </w:pPr>
      <w:r>
        <w:t xml:space="preserve">Residency in the selected districts of Thailand Bangkok for at least six months.</w:t>
      </w:r>
    </w:p>
    <w:p>
      <w:pPr>
        <w:numPr>
          <w:ilvl w:val="0"/>
          <w:numId w:val="1003"/>
        </w:numPr>
        <w:pStyle w:val="Compact"/>
      </w:pPr>
      <w:r>
        <w:t xml:space="preserve">Age between 18 and 65 years.</w:t>
      </w:r>
    </w:p>
    <w:p>
      <w:pPr>
        <w:numPr>
          <w:ilvl w:val="0"/>
          <w:numId w:val="1003"/>
        </w:numPr>
        <w:pStyle w:val="Compact"/>
      </w:pPr>
      <w:r>
        <w:t xml:space="preserve">Household income below the national poverty line.</w:t>
      </w:r>
    </w:p>
    <w:p>
      <w:pPr>
        <w:numPr>
          <w:ilvl w:val="0"/>
          <w:numId w:val="1003"/>
        </w:numPr>
        <w:pStyle w:val="Compact"/>
      </w:pPr>
      <w:r>
        <w:t xml:space="preserve">Willingness to provide informed consent in Thai or English.</w:t>
      </w:r>
    </w:p>
    <w:p>
      <w:pPr>
        <w:pStyle w:val="FirstParagraph"/>
      </w:pPr>
      <w:r>
        <w:t xml:space="preserve">Exclusion criteria include severe cognitive impairment that prevents participation in interviews or surveys.</w:t>
      </w:r>
    </w:p>
    <w:bookmarkEnd w:id="26"/>
    <w:bookmarkStart w:id="27" w:name="data-collection"/>
    <w:p>
      <w:pPr>
        <w:pStyle w:val="Heading2"/>
      </w:pPr>
      <w:r>
        <w:t xml:space="preserve">5. Data Collection</w:t>
      </w:r>
    </w:p>
    <w:p>
      <w:pPr>
        <w:pStyle w:val="FirstParagraph"/>
      </w:pPr>
      <w:r>
        <w:t xml:space="preserve">Data will be collected at three intervals: baseline (Month 0), mid-point (Month 6), and end-line (Month 12). Instruments will include:</w:t>
      </w:r>
    </w:p>
    <w:p>
      <w:pPr>
        <w:numPr>
          <w:ilvl w:val="0"/>
          <w:numId w:val="1004"/>
        </w:numPr>
        <w:pStyle w:val="Compact"/>
      </w:pPr>
      <w:r>
        <w:rPr>
          <w:bCs/>
          <w:b/>
        </w:rPr>
        <w:t xml:space="preserve">Surveys:</w:t>
      </w:r>
      <w:r>
        <w:t xml:space="preserve"> </w:t>
      </w:r>
      <w:r>
        <w:t xml:space="preserve">Standardized questionnaires assessing mental health (e.g., PHQ-9), social support, and satisfaction with services.</w:t>
      </w:r>
    </w:p>
    <w:p>
      <w:pPr>
        <w:numPr>
          <w:ilvl w:val="0"/>
          <w:numId w:val="1004"/>
        </w:numPr>
        <w:pStyle w:val="Compact"/>
      </w:pPr>
      <w:r>
        <w:rPr>
          <w:bCs/>
          <w:b/>
        </w:rPr>
        <w:t xml:space="preserve">Interviews:</w:t>
      </w:r>
      <w:r>
        <w:t xml:space="preserve"> </w:t>
      </w:r>
      <w:r>
        <w:t xml:space="preserve">Semi-structured interviews with participants and Social Workers to gather qualitative insights.</w:t>
      </w:r>
    </w:p>
    <w:p>
      <w:pPr>
        <w:numPr>
          <w:ilvl w:val="0"/>
          <w:numId w:val="1004"/>
        </w:numPr>
        <w:pStyle w:val="Compact"/>
      </w:pPr>
      <w:r>
        <w:rPr>
          <w:bCs/>
          <w:b/>
        </w:rPr>
        <w:t xml:space="preserve">Administrative Data:</w:t>
      </w:r>
      <w:r>
        <w:t xml:space="preserve"> </w:t>
      </w:r>
      <w:r>
        <w:t xml:space="preserve">Records of service utilization (e.g., hospital visits, welfare applications) facilitated by the Social Worker.</w:t>
      </w:r>
    </w:p>
    <w:bookmarkEnd w:id="27"/>
    <w:bookmarkStart w:id="28" w:name="ethical-considerations"/>
    <w:p>
      <w:pPr>
        <w:pStyle w:val="Heading2"/>
      </w:pPr>
      <w:r>
        <w:t xml:space="preserve">6. Ethical Considerations</w:t>
      </w:r>
    </w:p>
    <w:p>
      <w:pPr>
        <w:pStyle w:val="FirstParagraph"/>
      </w:pPr>
      <w:r>
        <w:t xml:space="preserve">This experiment will adhere to the ethical guidelines set forth by the Thai Ministry of Public Health and international standards for human subject research. Key ethical considerations include:</w:t>
      </w:r>
    </w:p>
    <w:p>
      <w:pPr>
        <w:numPr>
          <w:ilvl w:val="0"/>
          <w:numId w:val="1005"/>
        </w:numPr>
        <w:pStyle w:val="Compact"/>
      </w:pPr>
      <w:r>
        <w:rPr>
          <w:bCs/>
          <w:b/>
        </w:rPr>
        <w:t xml:space="preserve">Informed Consent:</w:t>
      </w:r>
      <w:r>
        <w:t xml:space="preserve"> </w:t>
      </w:r>
      <w:r>
        <w:t xml:space="preserve">All participants will provide written informed consent after receiving a detailed explanation of the study in their preferred language.</w:t>
      </w:r>
    </w:p>
    <w:p>
      <w:pPr>
        <w:numPr>
          <w:ilvl w:val="0"/>
          <w:numId w:val="1005"/>
        </w:numPr>
        <w:pStyle w:val="Compact"/>
      </w:pPr>
      <w:r>
        <w:rPr>
          <w:bCs/>
          <w:b/>
        </w:rPr>
        <w:t xml:space="preserve">Confidentiality:</w:t>
      </w:r>
      <w:r>
        <w:t xml:space="preserve"> </w:t>
      </w:r>
      <w:r>
        <w:t xml:space="preserve">All data will be anonymized and stored securely to protect participant privacy.</w:t>
      </w:r>
    </w:p>
    <w:p>
      <w:pPr>
        <w:numPr>
          <w:ilvl w:val="0"/>
          <w:numId w:val="1005"/>
        </w:numPr>
        <w:pStyle w:val="Compact"/>
      </w:pPr>
      <w:r>
        <w:rPr>
          <w:bCs/>
          <w:b/>
        </w:rPr>
        <w:t xml:space="preserve">Right to Withdraw:</w:t>
      </w:r>
      <w:r>
        <w:t xml:space="preserve"> </w:t>
      </w:r>
      <w:r>
        <w:t xml:space="preserve">Participants may withdraw from the study at any time without penalty.</w:t>
      </w:r>
    </w:p>
    <w:p>
      <w:pPr>
        <w:numPr>
          <w:ilvl w:val="0"/>
          <w:numId w:val="1005"/>
        </w:numPr>
        <w:pStyle w:val="Compact"/>
      </w:pPr>
      <w:r>
        <w:rPr>
          <w:bCs/>
          <w:b/>
        </w:rPr>
        <w:t xml:space="preserve">Cultural Sensitivity:</w:t>
      </w:r>
      <w:r>
        <w:t xml:space="preserve"> </w:t>
      </w:r>
      <w:r>
        <w:t xml:space="preserve">The Social Worker interventions will be designed with respect for Thai cultural norms and values, ensuring appropriateness within the Thailand Bangkok context.</w:t>
      </w:r>
    </w:p>
    <w:bookmarkEnd w:id="28"/>
    <w:bookmarkStart w:id="29" w:name="risk-management"/>
    <w:p>
      <w:pPr>
        <w:pStyle w:val="Heading2"/>
      </w:pPr>
      <w:r>
        <w:t xml:space="preserve">7. Risk Management</w:t>
      </w:r>
    </w:p>
    <w:p>
      <w:pPr>
        <w:pStyle w:val="FirstParagraph"/>
      </w:pPr>
      <w:r>
        <w:t xml:space="preserve">Potential risks include emotional distress during counseling sessions or interviews. To mitigate this, all Social Workers involved in the experiment will be licensed professionals trained in crisis intervention. A referral system will be in place for participants requiring immediate medical or psychological care beyond the scope of the experiment.</w:t>
      </w:r>
    </w:p>
    <w:bookmarkEnd w:id="29"/>
    <w:bookmarkStart w:id="30" w:name="data-analysis"/>
    <w:p>
      <w:pPr>
        <w:pStyle w:val="Heading2"/>
      </w:pPr>
      <w:r>
        <w:t xml:space="preserve">8. Data Analysis</w:t>
      </w:r>
    </w:p>
    <w:p>
      <w:pPr>
        <w:pStyle w:val="FirstParagraph"/>
      </w:pPr>
      <w:r>
        <w:t xml:space="preserve">Quantitative data will be analyzed using statistical software to compare outcomes between the Intervention and Control Groups. Qualitative data from interviews will be thematically analyzed to identify patterns and insights regarding the Social Worker's role in Thailand Bangkok. The analysis will focus on determining whether the intervention led to statistically significant improvements in participants' well-being and access to services.</w:t>
      </w:r>
    </w:p>
    <w:bookmarkEnd w:id="30"/>
    <w:bookmarkStart w:id="31" w:name="dissemination-of-results"/>
    <w:p>
      <w:pPr>
        <w:pStyle w:val="Heading2"/>
      </w:pPr>
      <w:r>
        <w:t xml:space="preserve">9. Dissemination of Results</w:t>
      </w:r>
    </w:p>
    <w:p>
      <w:pPr>
        <w:pStyle w:val="FirstParagraph"/>
      </w:pPr>
      <w:r>
        <w:t xml:space="preserve">Findings from this experiment will be disseminated through academic publications, policy briefs for the Thai government, and community workshops in Thailand Bangkok. The goal is to inform future social welfare policies and enhance the training and deployment of Social Workers in urban settings.</w:t>
      </w:r>
    </w:p>
    <w:bookmarkEnd w:id="31"/>
    <w:bookmarkStart w:id="32" w:name="conclusion"/>
    <w:p>
      <w:pPr>
        <w:pStyle w:val="Heading2"/>
      </w:pPr>
      <w:r>
        <w:t xml:space="preserve">10. Conclusion</w:t>
      </w:r>
    </w:p>
    <w:p>
      <w:pPr>
        <w:pStyle w:val="FirstParagraph"/>
      </w:pPr>
      <w:r>
        <w:t xml:space="preserve">This Experiment Protocol provides a comprehensive framework for evaluating the impact of Social Worker interventions in Thailand Bangkok. By rigorously assessing the outcomes of this program, we aim to contribute valuable evidence to the field of social work and improve the lives of vulnerable populations in one of the world's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Thailand Bangkok</dc:title>
  <dc:creator/>
  <dc:language>en</dc:language>
  <cp:keywords/>
  <dcterms:created xsi:type="dcterms:W3CDTF">2026-10-10T03:02:24Z</dcterms:created>
  <dcterms:modified xsi:type="dcterms:W3CDTF">2026-10-10T03:02:24Z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