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Efficacy</w:t>
      </w:r>
      <w:r>
        <w:t xml:space="preserve"> </w:t>
      </w:r>
      <w:r>
        <w:t xml:space="preserve">in</w:t>
      </w:r>
      <w:r>
        <w:t xml:space="preserve"> </w:t>
      </w:r>
      <w:r>
        <w:t xml:space="preserve">Turkey</w:t>
      </w:r>
      <w:r>
        <w:t xml:space="preserve"> </w:t>
      </w:r>
      <w:r>
        <w:t xml:space="preserve">Istanbul</w:t>
      </w:r>
    </w:p>
    <w:p>
      <w:pPr>
        <w:pStyle w:val="FirstParagraph"/>
      </w:pPr>
      <w:r>
        <w:rPr>
          <w:bCs/>
          <w:b/>
        </w:rPr>
        <w:t xml:space="preserve">Document Title:</w:t>
      </w:r>
      <w:r>
        <w:t xml:space="preserve"> </w:t>
      </w:r>
      <w:r>
        <w:t xml:space="preserve">Experiment Protocol: Evaluating the Impact of Integrated Social Worker Interventions on Urban Vulnerable Populations</w:t>
      </w:r>
    </w:p>
    <w:p>
      <w:pPr>
        <w:pStyle w:val="BodyText"/>
      </w:pPr>
      <w:r>
        <w:rPr>
          <w:bCs/>
          <w:b/>
        </w:rPr>
        <w:t xml:space="preserve">Location:</w:t>
      </w:r>
      <w:r>
        <w:t xml:space="preserve"> </w:t>
      </w:r>
      <w:r>
        <w:t xml:space="preserve">Turkey Istanbul (Specifically targeting districts of Esenyurt and Fatih)</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30" w:name="experiment-protocol"/>
    <w:p>
      <w:pPr>
        <w:pStyle w:val="Heading1"/>
      </w:pPr>
      <w:r>
        <w:t xml:space="preserve">Experiment Protocol</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assess the efficacy of specialized Social Worker interventions within the complex urban environment of Turkey Istanbul. As one of the largest and most dynamic cities in the world, Istanbul presents unique challenges regarding social stratification, migration, and access to public services. The role of the Social Worker in this context is critical, yet empirical data regarding the specific impact of their interventions on long-term client stability remains fragmented.</w:t>
      </w:r>
    </w:p>
    <w:p>
      <w:pPr>
        <w:pStyle w:val="BodyText"/>
      </w:pPr>
      <w:r>
        <w:t xml:space="preserve">The primary objective of this study is to determine whether a structured, case-management approach led by licensed Social Workers significantly improves socio-economic stability and mental health outcomes for vulnerable families compared to standard administrative support provided by municipal offices. This protocol adheres to the ethical guidelines set forth by the Turkish Ministry of Family, Labour and Social Services and international standards for human subject research.</w:t>
      </w:r>
    </w:p>
    <w:bookmarkEnd w:id="20"/>
    <w:bookmarkStart w:id="21" w:name="objectives"/>
    <w:p>
      <w:pPr>
        <w:pStyle w:val="Heading2"/>
      </w:pPr>
      <w:r>
        <w:t xml:space="preserve">2. Objectives</w:t>
      </w:r>
    </w:p>
    <w:p>
      <w:pPr>
        <w:pStyle w:val="FirstParagraph"/>
      </w:pPr>
      <w:r>
        <w:t xml:space="preserve">The specific aims of this Experiment Protocol are as follows:</w:t>
      </w:r>
    </w:p>
    <w:p>
      <w:pPr>
        <w:numPr>
          <w:ilvl w:val="0"/>
          <w:numId w:val="1001"/>
        </w:numPr>
        <w:pStyle w:val="Compact"/>
      </w:pPr>
      <w:r>
        <w:t xml:space="preserve">To evaluate the effectiveness of intensive Social Worker engagement in reducing household poverty indicators in selected Istanbul neighborhoods.</w:t>
      </w:r>
    </w:p>
    <w:p>
      <w:pPr>
        <w:numPr>
          <w:ilvl w:val="0"/>
          <w:numId w:val="1001"/>
        </w:numPr>
        <w:pStyle w:val="Compact"/>
      </w:pPr>
      <w:r>
        <w:t xml:space="preserve">To measure the impact of Social Worker-led psychological support on the anxiety and depression levels of single-parent households.</w:t>
      </w:r>
    </w:p>
    <w:p>
      <w:pPr>
        <w:numPr>
          <w:ilvl w:val="0"/>
          <w:numId w:val="1001"/>
        </w:numPr>
        <w:pStyle w:val="Compact"/>
      </w:pPr>
      <w:r>
        <w:t xml:space="preserve">To analyze the correlation between Social Worker intervention and the successful integration of migrant populations into the local social fabric of Turkey Istanbul.</w:t>
      </w:r>
    </w:p>
    <w:p>
      <w:pPr>
        <w:numPr>
          <w:ilvl w:val="0"/>
          <w:numId w:val="1001"/>
        </w:numPr>
        <w:pStyle w:val="Compact"/>
      </w:pPr>
      <w:r>
        <w:t xml:space="preserve">To identify systemic barriers that Social Workers face when operating within the bureaucratic framework of Istanbul's municipal services.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social assistance centers in two distinct districts of Istanbul: Esenyurt, representing a high-density, rapidly urbanizing area with significant economic disparity, and Fatih, representing a historic district with a mix of long-term residents and new migrants.</w:t>
      </w:r>
    </w:p>
    <w:bookmarkEnd w:id="22"/>
    <w:bookmarkStart w:id="23" w:name="participants"/>
    <w:p>
      <w:pPr>
        <w:pStyle w:val="Heading3"/>
      </w:pPr>
      <w:r>
        <w:t xml:space="preserve">3.2 Participants</w:t>
      </w:r>
    </w:p>
    <w:p>
      <w:pPr>
        <w:pStyle w:val="FirstParagraph"/>
      </w:pPr>
      <w:r>
        <w:t xml:space="preserve">The target population consists of families currently receiving social assistance. Inclusion criteria include:</w:t>
      </w:r>
    </w:p>
    <w:p>
      <w:pPr>
        <w:numPr>
          <w:ilvl w:val="0"/>
          <w:numId w:val="1002"/>
        </w:numPr>
        <w:pStyle w:val="Compact"/>
      </w:pPr>
      <w:r>
        <w:t xml:space="preserve">Residency in Istanbul for at least six months.</w:t>
      </w:r>
    </w:p>
    <w:p>
      <w:pPr>
        <w:numPr>
          <w:ilvl w:val="0"/>
          <w:numId w:val="1002"/>
        </w:numPr>
        <w:pStyle w:val="Compact"/>
      </w:pPr>
      <w:r>
        <w:t xml:space="preserve">Household income below the official poverty line defined by the Turkish Statistical Institute (TÜİK).</w:t>
      </w:r>
    </w:p>
    <w:p>
      <w:pPr>
        <w:numPr>
          <w:ilvl w:val="0"/>
          <w:numId w:val="1002"/>
        </w:numPr>
        <w:pStyle w:val="Compact"/>
      </w:pPr>
      <w:r>
        <w:t xml:space="preserve">At least one child under the age of 18 in the household.</w:t>
      </w:r>
    </w:p>
    <w:p>
      <w:pPr>
        <w:numPr>
          <w:ilvl w:val="0"/>
          <w:numId w:val="1002"/>
        </w:numPr>
        <w:pStyle w:val="Compact"/>
      </w:pPr>
      <w:r>
        <w:t xml:space="preserve">Willingness to provide informed consent.</w:t>
      </w:r>
    </w:p>
    <w:p>
      <w:pPr>
        <w:pStyle w:val="FirstParagraph"/>
      </w:pPr>
      <w:r>
        <w:t xml:space="preserve">A total of 400 families will be recruited. They will be randomly assigned to either the Intervention Group (n=200) or the Control Group (n=200).</w:t>
      </w:r>
    </w:p>
    <w:bookmarkEnd w:id="23"/>
    <w:bookmarkStart w:id="24" w:name="the-intervention"/>
    <w:p>
      <w:pPr>
        <w:pStyle w:val="Heading3"/>
      </w:pPr>
      <w:r>
        <w:t xml:space="preserve">3.3 The Intervention</w:t>
      </w:r>
    </w:p>
    <w:p>
      <w:pPr>
        <w:pStyle w:val="FirstParagraph"/>
      </w:pPr>
      <w:r>
        <w:t xml:space="preserve">The Intervention Group will be assigned a dedicated Social Worker for a period of six months. The Social Worker will provide:</w:t>
      </w:r>
    </w:p>
    <w:p>
      <w:pPr>
        <w:numPr>
          <w:ilvl w:val="0"/>
          <w:numId w:val="1003"/>
        </w:numPr>
        <w:pStyle w:val="Compact"/>
      </w:pPr>
      <w:r>
        <w:t xml:space="preserve">Weekly home visits to assess living conditions and family dynamics.</w:t>
      </w:r>
    </w:p>
    <w:p>
      <w:pPr>
        <w:numPr>
          <w:ilvl w:val="0"/>
          <w:numId w:val="1003"/>
        </w:numPr>
        <w:pStyle w:val="Compact"/>
      </w:pPr>
      <w:r>
        <w:t xml:space="preserve">Direct advocacy with local government agencies to expedite access to healthcare, education, and housing subsidies.</w:t>
      </w:r>
    </w:p>
    <w:p>
      <w:pPr>
        <w:numPr>
          <w:ilvl w:val="0"/>
          <w:numId w:val="1003"/>
        </w:numPr>
        <w:pStyle w:val="Compact"/>
      </w:pPr>
      <w:r>
        <w:t xml:space="preserve">Psychosocial counseling sessions tailored to the cultural context of Turkey Istanbul.</w:t>
      </w:r>
    </w:p>
    <w:p>
      <w:pPr>
        <w:numPr>
          <w:ilvl w:val="0"/>
          <w:numId w:val="1003"/>
        </w:numPr>
        <w:pStyle w:val="Compact"/>
      </w:pPr>
      <w:r>
        <w:t xml:space="preserve">Referrals to vocational training programs and community support networks.</w:t>
      </w:r>
    </w:p>
    <w:p>
      <w:pPr>
        <w:pStyle w:val="FirstParagraph"/>
      </w:pPr>
      <w:r>
        <w:t xml:space="preserve">The Control Group will continue to receive standard care, which typically involves bi-monthly administrative check-ins and access to general information desks, without the dedicated support of a specific Social Worker.</w:t>
      </w:r>
    </w:p>
    <w:bookmarkEnd w:id="24"/>
    <w:bookmarkEnd w:id="25"/>
    <w:bookmarkStart w:id="26" w:name="data-collection-and-measurement"/>
    <w:p>
      <w:pPr>
        <w:pStyle w:val="Heading2"/>
      </w:pPr>
      <w:r>
        <w:t xml:space="preserve">4. Data Collection and Measurement</w:t>
      </w:r>
    </w:p>
    <w:p>
      <w:pPr>
        <w:pStyle w:val="FirstParagraph"/>
      </w:pPr>
      <w:r>
        <w:t xml:space="preserve">Data will be collected at three intervals: Baseline (T0), Mid-point (T3), and End of Study (T6). The following metrics will be used:</w:t>
      </w:r>
    </w:p>
    <w:p>
      <w:pPr>
        <w:numPr>
          <w:ilvl w:val="0"/>
          <w:numId w:val="1004"/>
        </w:numPr>
        <w:pStyle w:val="Compact"/>
      </w:pPr>
      <w:r>
        <w:rPr>
          <w:bCs/>
          <w:b/>
        </w:rPr>
        <w:t xml:space="preserve">Socio-Economic Status:</w:t>
      </w:r>
      <w:r>
        <w:t xml:space="preserve"> </w:t>
      </w:r>
      <w:r>
        <w:t xml:space="preserve">Measured using a standardized index including income stability, employment status, and housing quality.</w:t>
      </w:r>
    </w:p>
    <w:p>
      <w:pPr>
        <w:numPr>
          <w:ilvl w:val="0"/>
          <w:numId w:val="1004"/>
        </w:numPr>
        <w:pStyle w:val="Compact"/>
      </w:pPr>
      <w:r>
        <w:rPr>
          <w:bCs/>
          <w:b/>
        </w:rPr>
        <w:t xml:space="preserve">Mental Health:</w:t>
      </w:r>
      <w:r>
        <w:t xml:space="preserve"> </w:t>
      </w:r>
      <w:r>
        <w:t xml:space="preserve">Assessed using the General Health Questionnaire (GHQ-12), validated for use in Turkey.</w:t>
      </w:r>
    </w:p>
    <w:p>
      <w:pPr>
        <w:numPr>
          <w:ilvl w:val="0"/>
          <w:numId w:val="1004"/>
        </w:numPr>
        <w:pStyle w:val="Compact"/>
      </w:pPr>
      <w:r>
        <w:rPr>
          <w:bCs/>
          <w:b/>
        </w:rPr>
        <w:t xml:space="preserve">Social Integration:</w:t>
      </w:r>
      <w:r>
        <w:t xml:space="preserve"> </w:t>
      </w:r>
      <w:r>
        <w:t xml:space="preserve">Evaluated through self-reported surveys regarding community participation and perceived social support.</w:t>
      </w:r>
    </w:p>
    <w:p>
      <w:pPr>
        <w:numPr>
          <w:ilvl w:val="0"/>
          <w:numId w:val="1004"/>
        </w:numPr>
        <w:pStyle w:val="Compact"/>
      </w:pPr>
      <w:r>
        <w:rPr>
          <w:bCs/>
          <w:b/>
        </w:rPr>
        <w:t xml:space="preserve">Service Utilization:</w:t>
      </w:r>
      <w:r>
        <w:t xml:space="preserve"> </w:t>
      </w:r>
      <w:r>
        <w:t xml:space="preserve">Tracked via administrative records to determine the frequency and success of accessing public services.</w:t>
      </w:r>
    </w:p>
    <w:bookmarkEnd w:id="26"/>
    <w:bookmarkStart w:id="27" w:name="ethical-considerations"/>
    <w:p>
      <w:pPr>
        <w:pStyle w:val="Heading2"/>
      </w:pPr>
      <w:r>
        <w:t xml:space="preserve">5. Ethical Considerations</w:t>
      </w:r>
    </w:p>
    <w:p>
      <w:pPr>
        <w:pStyle w:val="FirstParagraph"/>
      </w:pPr>
      <w:r>
        <w:t xml:space="preserve">This Experiment Protocol prioritizes the safety and dignity of all participants. The study has received approval from the Institutional Review Board (IRB) of a leading university in Istanbul. Key ethical safeguards include:</w:t>
      </w:r>
    </w:p>
    <w:p>
      <w:pPr>
        <w:numPr>
          <w:ilvl w:val="0"/>
          <w:numId w:val="1005"/>
        </w:numPr>
        <w:pStyle w:val="Compact"/>
      </w:pPr>
      <w:r>
        <w:rPr>
          <w:bCs/>
          <w:b/>
        </w:rPr>
        <w:t xml:space="preserve">Informed Consent:</w:t>
      </w:r>
      <w:r>
        <w:t xml:space="preserve"> </w:t>
      </w:r>
      <w:r>
        <w:t xml:space="preserve">All participants will sign a consent form in Turkish, clearly explaining the study's purpose, procedures, and their right to withdraw at any time without penalty.</w:t>
      </w:r>
    </w:p>
    <w:p>
      <w:pPr>
        <w:numPr>
          <w:ilvl w:val="0"/>
          <w:numId w:val="1005"/>
        </w:numPr>
        <w:pStyle w:val="Compact"/>
      </w:pPr>
      <w:r>
        <w:rPr>
          <w:bCs/>
          <w:b/>
        </w:rPr>
        <w:t xml:space="preserve">Confidentiality:</w:t>
      </w:r>
      <w:r>
        <w:t xml:space="preserve"> </w:t>
      </w:r>
      <w:r>
        <w:t xml:space="preserve">All data will be anonymized. Personal identifiers will be stored separately from research data in encrypted databases.</w:t>
      </w:r>
    </w:p>
    <w:p>
      <w:pPr>
        <w:numPr>
          <w:ilvl w:val="0"/>
          <w:numId w:val="1005"/>
        </w:numPr>
        <w:pStyle w:val="Compact"/>
      </w:pPr>
      <w:r>
        <w:rPr>
          <w:bCs/>
          <w:b/>
        </w:rPr>
        <w:t xml:space="preserve">Non-Maleficence:</w:t>
      </w:r>
      <w:r>
        <w:t xml:space="preserve"> </w:t>
      </w:r>
      <w:r>
        <w:t xml:space="preserve">Social Workers are trained to recognize signs of abuse or severe crisis. If a participant is found to be in immediate danger, the Social Worker is ethically bound to report this to the relevant authorities, overriding confidentiality protocols.</w:t>
      </w:r>
    </w:p>
    <w:p>
      <w:pPr>
        <w:numPr>
          <w:ilvl w:val="0"/>
          <w:numId w:val="1005"/>
        </w:numPr>
        <w:pStyle w:val="Compact"/>
      </w:pPr>
      <w:r>
        <w:rPr>
          <w:bCs/>
          <w:b/>
        </w:rPr>
        <w:t xml:space="preserve">Equity:</w:t>
      </w:r>
      <w:r>
        <w:t xml:space="preserve"> </w:t>
      </w:r>
      <w:r>
        <w:t xml:space="preserve">Upon completion of the study, participants in the Control Group who demonstrate high need will be offered access to the Social Worker intervention program.</w:t>
      </w:r>
    </w:p>
    <w:bookmarkEnd w:id="27"/>
    <w:bookmarkStart w:id="28" w:name="data-analysis"/>
    <w:p>
      <w:pPr>
        <w:pStyle w:val="Heading2"/>
      </w:pPr>
      <w:r>
        <w:t xml:space="preserve">6. Data Analysis</w:t>
      </w:r>
    </w:p>
    <w:p>
      <w:pPr>
        <w:pStyle w:val="FirstParagraph"/>
      </w:pPr>
      <w:r>
        <w:t xml:space="preserve">Quantitative data will be analyzed using statistical software (SPSS). We will employ ANOVA tests to compare the mean scores of the Intervention and Control groups across the three time points. Qualitative data gathered from Social Worker case notes and participant interviews will be analyzed using thematic analysis to provide context to the statistical findings. This mixed-methods approach ensures a comprehensive understanding of the Social Worker's role in the specific socio-cultural landscape of Turkey Istanbul.</w:t>
      </w:r>
    </w:p>
    <w:bookmarkEnd w:id="28"/>
    <w:bookmarkStart w:id="29" w:name="timeline-and-dissemination"/>
    <w:p>
      <w:pPr>
        <w:pStyle w:val="Heading2"/>
      </w:pPr>
      <w:r>
        <w:t xml:space="preserve">7. Timeline and Dissemination</w:t>
      </w:r>
    </w:p>
    <w:p>
      <w:pPr>
        <w:pStyle w:val="FirstParagraph"/>
      </w:pPr>
      <w:r>
        <w:t xml:space="preserve">The study is scheduled to run for 12 months, including recruitment, the 6-month intervention period, and data analysis. Results will be disseminated through academic publications, presentations at social work conferences in Turkey and internationally, and a policy brief submitted to the Istanbul Metropolitan Municipality to inform future social service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Efficacy in Turkey Istanbul</dc:title>
  <dc:creator/>
  <dc:language>en</dc:language>
  <cp:keywords/>
  <dcterms:created xsi:type="dcterms:W3CDTF">2026-10-10T02:13:52Z</dcterms:created>
  <dcterms:modified xsi:type="dcterms:W3CDTF">2026-10-10T02:13:52Z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