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Uganda</w:t>
      </w:r>
      <w:r>
        <w:t xml:space="preserve"> </w:t>
      </w:r>
      <w:r>
        <w:t xml:space="preserve">Kampala</w:t>
      </w:r>
    </w:p>
    <w:bookmarkStart w:id="34" w:name="X770a8d8f601017f04218d4bcb20295e09e6da16"/>
    <w:p>
      <w:pPr>
        <w:pStyle w:val="Heading1"/>
      </w:pPr>
      <w:r>
        <w:t xml:space="preserve">Experiment Protocol: Community-Based Social Worker Intervention in Uganda Kampala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efficacy of a structured Social Worker intervention program within the urban and peri-urban districts of Uganda Kampala. The rapid urbanization of Kampala has led to complex socio-economic challenges, including youth unemployment, domestic violence, child protection issues, and inadequate access to mental health services. While the Ministry of Gender, Labour and Social Development (MGLSD) provides a framework for social work, the capacity of existing Social Workers is often stretched thin by high caseloads and limited resources.</w:t>
      </w:r>
    </w:p>
    <w:p>
      <w:pPr>
        <w:pStyle w:val="BodyText"/>
      </w:pPr>
      <w:r>
        <w:t xml:space="preserve">The purpose of this experiment is to determine whether a specialized, community-integrated Social Worker model can significantly improve psychosocial outcomes and resource connectivity for vulnerable populations compared to standard care. This protocol is designed to be culturally sensitive, aligning with local community structures such as Local Councils (LCs) and religious organizations prevalent in Uganda Kampala.</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dedicated Social Worker caseload management on the mental well-being of beneficiaries in Uganda Kampala.</w:t>
      </w:r>
    </w:p>
    <w:p>
      <w:pPr>
        <w:numPr>
          <w:ilvl w:val="0"/>
          <w:numId w:val="1001"/>
        </w:numPr>
        <w:pStyle w:val="Compact"/>
      </w:pPr>
      <w:r>
        <w:t xml:space="preserve">To evaluate the effectiveness of Social Workers in facilitating access to government and NGO services for marginalized groups.</w:t>
      </w:r>
    </w:p>
    <w:p>
      <w:pPr>
        <w:numPr>
          <w:ilvl w:val="0"/>
          <w:numId w:val="1001"/>
        </w:numPr>
        <w:pStyle w:val="Compact"/>
      </w:pPr>
      <w:r>
        <w:t xml:space="preserve">To measure changes in community cohesion and conflict resolution rates in areas where Social Workers are actively deployed.</w:t>
      </w:r>
    </w:p>
    <w:p>
      <w:pPr>
        <w:numPr>
          <w:ilvl w:val="0"/>
          <w:numId w:val="1001"/>
        </w:numPr>
        <w:pStyle w:val="Compact"/>
      </w:pPr>
      <w:r>
        <w:t xml:space="preserve">To identify barriers faced by Social Workers in the specific context of Uganda Kampala’s urban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Two comparable parishes within Uganda Kampala will be selected: one as the Intervention Site and one as the Control Site. The selection will be based on demographic similarity, including population density, poverty levels, and existing infrastructure.</w:t>
      </w:r>
    </w:p>
    <w:bookmarkEnd w:id="22"/>
    <w:bookmarkStart w:id="23" w:name="participants"/>
    <w:p>
      <w:pPr>
        <w:pStyle w:val="Heading3"/>
      </w:pPr>
      <w:r>
        <w:t xml:space="preserve">3.2 Participants</w:t>
      </w:r>
    </w:p>
    <w:p>
      <w:pPr>
        <w:pStyle w:val="FirstParagraph"/>
      </w:pPr>
      <w:r>
        <w:t xml:space="preserve">The target population includes households identified as vulnerable by Local Council 1 (LC1) chairpersons. Inclusion criteria include households with children under 18, elderly members without support, or individuals reporting domestic conflict. A total of 200 households will be recruited, with 100 in the intervention group and 100 in the control group.</w:t>
      </w:r>
    </w:p>
    <w:bookmarkEnd w:id="23"/>
    <w:bookmarkStart w:id="24" w:name="intervention-protocol"/>
    <w:p>
      <w:pPr>
        <w:pStyle w:val="Heading3"/>
      </w:pPr>
      <w:r>
        <w:t xml:space="preserve">3.3 Intervention Protocol</w:t>
      </w:r>
    </w:p>
    <w:p>
      <w:pPr>
        <w:pStyle w:val="FirstParagraph"/>
      </w:pPr>
      <w:r>
        <w:t xml:space="preserve">In the Intervention Site, qualified Social Workers will be deployed for a period of six months. Their activities will include:</w:t>
      </w:r>
    </w:p>
    <w:p>
      <w:pPr>
        <w:numPr>
          <w:ilvl w:val="0"/>
          <w:numId w:val="1002"/>
        </w:numPr>
        <w:pStyle w:val="Compact"/>
      </w:pPr>
      <w:r>
        <w:rPr>
          <w:bCs/>
          <w:b/>
        </w:rPr>
        <w:t xml:space="preserve">Home Visits:</w:t>
      </w:r>
      <w:r>
        <w:t xml:space="preserve"> </w:t>
      </w:r>
      <w:r>
        <w:t xml:space="preserve">Bi-weekly visits to assess family dynamics and needs.</w:t>
      </w:r>
    </w:p>
    <w:p>
      <w:pPr>
        <w:numPr>
          <w:ilvl w:val="0"/>
          <w:numId w:val="1002"/>
        </w:numPr>
        <w:pStyle w:val="Compact"/>
      </w:pPr>
      <w:r>
        <w:rPr>
          <w:bCs/>
          <w:b/>
        </w:rPr>
        <w:t xml:space="preserve">Counseling:</w:t>
      </w:r>
      <w:r>
        <w:t xml:space="preserve"> </w:t>
      </w:r>
      <w:r>
        <w:t xml:space="preserve">Provision of basic psychosocial support and conflict mediation.</w:t>
      </w:r>
    </w:p>
    <w:p>
      <w:pPr>
        <w:numPr>
          <w:ilvl w:val="0"/>
          <w:numId w:val="1002"/>
        </w:numPr>
        <w:pStyle w:val="Compact"/>
      </w:pPr>
      <w:r>
        <w:rPr>
          <w:bCs/>
          <w:b/>
        </w:rPr>
        <w:t xml:space="preserve">Referral Pathways:</w:t>
      </w:r>
      <w:r>
        <w:t xml:space="preserve"> </w:t>
      </w:r>
      <w:r>
        <w:t xml:space="preserve">Connecting families to health clinics, schools, and livelihood programs in Uganda Kampala.</w:t>
      </w:r>
    </w:p>
    <w:p>
      <w:pPr>
        <w:numPr>
          <w:ilvl w:val="0"/>
          <w:numId w:val="1002"/>
        </w:numPr>
        <w:pStyle w:val="Compact"/>
      </w:pPr>
      <w:r>
        <w:rPr>
          <w:bCs/>
          <w:b/>
        </w:rPr>
        <w:t xml:space="preserve">Community Workshops:</w:t>
      </w:r>
      <w:r>
        <w:t xml:space="preserve"> </w:t>
      </w:r>
      <w:r>
        <w:t xml:space="preserve">Monthly sessions on child protection and gender-based violence prevention.</w:t>
      </w:r>
    </w:p>
    <w:p>
      <w:pPr>
        <w:pStyle w:val="FirstParagraph"/>
      </w:pPr>
      <w:r>
        <w:t xml:space="preserve">The Control Site will continue to receive standard services available through the existing government structure without the additional dedicated Social Worker support.</w:t>
      </w:r>
    </w:p>
    <w:bookmarkEnd w:id="24"/>
    <w:bookmarkEnd w:id="25"/>
    <w:bookmarkStart w:id="29" w:name="data-collection-and-analysis"/>
    <w:p>
      <w:pPr>
        <w:pStyle w:val="Heading2"/>
      </w:pPr>
      <w:r>
        <w:t xml:space="preserve">4. Data Collection and Analysis</w:t>
      </w:r>
    </w:p>
    <w:bookmarkStart w:id="26" w:name="data-collection-tools"/>
    <w:p>
      <w:pPr>
        <w:pStyle w:val="Heading3"/>
      </w:pPr>
      <w:r>
        <w:t xml:space="preserve">4.1 Data Collection Tools</w:t>
      </w:r>
    </w:p>
    <w:p>
      <w:pPr>
        <w:pStyle w:val="FirstParagraph"/>
      </w:pPr>
      <w:r>
        <w:t xml:space="preserve">Data will be collected at three intervals: Baseline (Month 0), Midline (Month 3), and Endline (Month 6). Tools include:</w:t>
      </w:r>
    </w:p>
    <w:p>
      <w:pPr>
        <w:numPr>
          <w:ilvl w:val="0"/>
          <w:numId w:val="1003"/>
        </w:numPr>
        <w:pStyle w:val="Compact"/>
      </w:pPr>
      <w:r>
        <w:t xml:space="preserve">Structured household surveys administered by trained enumerators.</w:t>
      </w:r>
    </w:p>
    <w:p>
      <w:pPr>
        <w:numPr>
          <w:ilvl w:val="0"/>
          <w:numId w:val="1003"/>
        </w:numPr>
        <w:pStyle w:val="Compact"/>
      </w:pPr>
      <w:r>
        <w:t xml:space="preserve">Semi-structured interviews with Social Workers and community leaders.</w:t>
      </w:r>
    </w:p>
    <w:p>
      <w:pPr>
        <w:numPr>
          <w:ilvl w:val="0"/>
          <w:numId w:val="1003"/>
        </w:numPr>
        <w:pStyle w:val="Compact"/>
      </w:pPr>
      <w:r>
        <w:t xml:space="preserve">Focus Group Discussions (FGDs) with beneficiaries.</w:t>
      </w:r>
    </w:p>
    <w:bookmarkEnd w:id="26"/>
    <w:bookmarkStart w:id="27" w:name="key-performance-indicators-kpis"/>
    <w:p>
      <w:pPr>
        <w:pStyle w:val="Heading3"/>
      </w:pPr>
      <w:r>
        <w:t xml:space="preserve">4.2 Key Performance Indicators (KPIs)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Indicator</w:t>
            </w:r>
          </w:p>
        </w:tc>
        <w:tc>
          <w:tcPr/>
          <w:p>
            <w:pPr>
              <w:pStyle w:val="Compact"/>
              <w:jc w:val="left"/>
            </w:pPr>
            <w:r>
              <w:t xml:space="preserve">Measurement Method</w:t>
            </w:r>
          </w:p>
        </w:tc>
      </w:tr>
      <w:tr>
        <w:tc>
          <w:tcPr/>
          <w:p>
            <w:pPr>
              <w:pStyle w:val="Compact"/>
              <w:jc w:val="left"/>
            </w:pPr>
            <w:r>
              <w:t xml:space="preserve">Psychosocial Well-being</w:t>
            </w:r>
          </w:p>
        </w:tc>
        <w:tc>
          <w:tcPr/>
          <w:p>
            <w:pPr>
              <w:pStyle w:val="Compact"/>
              <w:jc w:val="left"/>
            </w:pPr>
            <w:r>
              <w:t xml:space="preserve">Standardized mental health screening tools (e.g., PHQ-9 adapted for local context)</w:t>
            </w:r>
          </w:p>
        </w:tc>
      </w:tr>
      <w:tr>
        <w:tc>
          <w:tcPr/>
          <w:p>
            <w:pPr>
              <w:pStyle w:val="Compact"/>
              <w:jc w:val="left"/>
            </w:pPr>
            <w:r>
              <w:t xml:space="preserve">Service Access</w:t>
            </w:r>
          </w:p>
        </w:tc>
        <w:tc>
          <w:tcPr/>
          <w:p>
            <w:pPr>
              <w:pStyle w:val="Compact"/>
              <w:jc w:val="left"/>
            </w:pPr>
            <w:r>
              <w:t xml:space="preserve">Number of successful referrals completed by Social Workers</w:t>
            </w:r>
          </w:p>
        </w:tc>
      </w:tr>
      <w:tr>
        <w:tc>
          <w:tcPr/>
          <w:p>
            <w:pPr>
              <w:pStyle w:val="Compact"/>
              <w:jc w:val="left"/>
            </w:pPr>
            <w:r>
              <w:t xml:space="preserve">Conflict Resolution</w:t>
            </w:r>
          </w:p>
        </w:tc>
        <w:tc>
          <w:tcPr/>
          <w:p>
            <w:pPr>
              <w:pStyle w:val="Compact"/>
              <w:jc w:val="left"/>
            </w:pPr>
            <w:r>
              <w:t xml:space="preserve">Self-reported reduction in domestic disputes</w:t>
            </w:r>
          </w:p>
        </w:tc>
      </w:tr>
      <w:tr>
        <w:tc>
          <w:tcPr/>
          <w:p>
            <w:pPr>
              <w:pStyle w:val="Compact"/>
              <w:jc w:val="left"/>
            </w:pPr>
            <w:r>
              <w:t xml:space="preserve">Social Worker Satisfaction</w:t>
            </w:r>
          </w:p>
        </w:tc>
        <w:tc>
          <w:tcPr/>
          <w:p>
            <w:pPr>
              <w:pStyle w:val="Compact"/>
              <w:jc w:val="left"/>
            </w:pPr>
            <w:r>
              <w:t xml:space="preserve">Surveys measuring job satisfaction and perceived efficacy</w:t>
            </w:r>
          </w:p>
        </w:tc>
      </w:tr>
    </w:tbl>
    <w:bookmarkEnd w:id="27"/>
    <w:bookmarkStart w:id="28" w:name="data-analysis"/>
    <w:p>
      <w:pPr>
        <w:pStyle w:val="Heading3"/>
      </w:pPr>
      <w:r>
        <w:t xml:space="preserve">4.3 Data Analysis</w:t>
      </w:r>
    </w:p>
    <w:p>
      <w:pPr>
        <w:pStyle w:val="FirstParagraph"/>
      </w:pPr>
      <w:r>
        <w:t xml:space="preserve">Quantitative data will be analyzed using statistical software to compare pre- and post-intervention scores between the two groups. Qualitative data from interviews and FGDs will be thematically analyzed to provide context to the statistical findings, specifically focusing on the unique challenges of practicing social work in Uganda Kampala.</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strict ethical guidelines. Ethical clearance will be obtained from the relevant institutional review board in Uganda. Key ethical considerations include:</w:t>
      </w:r>
    </w:p>
    <w:p>
      <w:pPr>
        <w:numPr>
          <w:ilvl w:val="0"/>
          <w:numId w:val="1004"/>
        </w:numPr>
        <w:pStyle w:val="Compact"/>
      </w:pPr>
      <w:r>
        <w:rPr>
          <w:bCs/>
          <w:b/>
        </w:rPr>
        <w:t xml:space="preserve">Informed Consent:</w:t>
      </w:r>
      <w:r>
        <w:t xml:space="preserve"> </w:t>
      </w:r>
      <w:r>
        <w:t xml:space="preserve">All participants will provide written or thumb-printed consent after the study is explained in their preferred language (English, Luganda, or Swahili).</w:t>
      </w:r>
    </w:p>
    <w:p>
      <w:pPr>
        <w:numPr>
          <w:ilvl w:val="0"/>
          <w:numId w:val="1004"/>
        </w:numPr>
        <w:pStyle w:val="Compact"/>
      </w:pPr>
      <w:r>
        <w:rPr>
          <w:bCs/>
          <w:b/>
        </w:rPr>
        <w:t xml:space="preserve">Confidentiality:</w:t>
      </w:r>
      <w:r>
        <w:t xml:space="preserve"> </w:t>
      </w:r>
      <w:r>
        <w:t xml:space="preserve">All data will be anonymized to protect the identity of participants, which is crucial given the sensitive nature of social work issues.</w:t>
      </w:r>
    </w:p>
    <w:p>
      <w:pPr>
        <w:numPr>
          <w:ilvl w:val="0"/>
          <w:numId w:val="1004"/>
        </w:numPr>
        <w:pStyle w:val="Compact"/>
      </w:pPr>
      <w:r>
        <w:rPr>
          <w:bCs/>
          <w:b/>
        </w:rPr>
        <w:t xml:space="preserve">Do No Harm:</w:t>
      </w:r>
      <w:r>
        <w:t xml:space="preserve"> </w:t>
      </w:r>
      <w:r>
        <w:t xml:space="preserve">Social Workers will be trained to recognize signs of severe distress and refer cases to professional medical or legal authorities immediately.</w:t>
      </w:r>
    </w:p>
    <w:p>
      <w:pPr>
        <w:numPr>
          <w:ilvl w:val="0"/>
          <w:numId w:val="1004"/>
        </w:numPr>
        <w:pStyle w:val="Compact"/>
      </w:pPr>
      <w:r>
        <w:rPr>
          <w:bCs/>
          <w:b/>
        </w:rPr>
        <w:t xml:space="preserve">Equity:</w:t>
      </w:r>
      <w:r>
        <w:t xml:space="preserve"> </w:t>
      </w:r>
      <w:r>
        <w:t xml:space="preserve">Upon completion of the study, the intervention model will be offered to the Control Site if proven effective, ensuring no group is disadvantaged long-term.</w:t>
      </w:r>
    </w:p>
    <w:bookmarkEnd w:id="30"/>
    <w:bookmarkStart w:id="31" w:name="risk-management"/>
    <w:p>
      <w:pPr>
        <w:pStyle w:val="Heading2"/>
      </w:pPr>
      <w:r>
        <w:t xml:space="preserve">6. Risk Management</w:t>
      </w:r>
    </w:p>
    <w:p>
      <w:pPr>
        <w:pStyle w:val="FirstParagraph"/>
      </w:pPr>
      <w:r>
        <w:rPr>
          <w:bCs/>
          <w:b/>
        </w:rPr>
        <w:t xml:space="preserve">Operational Risks:</w:t>
      </w:r>
      <w:r>
        <w:t xml:space="preserve"> </w:t>
      </w:r>
      <w:r>
        <w:t xml:space="preserve">Potential risks include resistance from community leaders, logistical challenges in navigating Uganda Kampala’s traffic and infrastructure, and safety concerns for Social Workers. Mitigation strategies involve close collaboration with LC1 chairpersons, providing transport allowances, and establishing clear safety protocols for field staff.</w:t>
      </w:r>
    </w:p>
    <w:bookmarkEnd w:id="31"/>
    <w:bookmarkStart w:id="32" w:name="timeline-and-budget-overview"/>
    <w:p>
      <w:pPr>
        <w:pStyle w:val="Heading2"/>
      </w:pPr>
      <w:r>
        <w:t xml:space="preserve">7. Timeline and Budget Overview</w:t>
      </w:r>
    </w:p>
    <w:p>
      <w:pPr>
        <w:pStyle w:val="FirstParagraph"/>
      </w:pPr>
      <w:r>
        <w:t xml:space="preserve">The experiment is scheduled to run for 8 months, including 2 months for preparation and training, 6 months for implementation, and 1 month for final analysis and reporting. The budget will cover salaries for Social Workers, training materials, data collection costs, and logistical support. Funding will be sought from international development partners and local government allocations dedicated to social welfare in Uganda Kampala.</w:t>
      </w:r>
    </w:p>
    <w:bookmarkEnd w:id="32"/>
    <w:bookmarkStart w:id="33" w:name="conclusion"/>
    <w:p>
      <w:pPr>
        <w:pStyle w:val="Heading2"/>
      </w:pPr>
      <w:r>
        <w:t xml:space="preserve">8. Conclusion</w:t>
      </w:r>
    </w:p>
    <w:p>
      <w:pPr>
        <w:pStyle w:val="FirstParagraph"/>
      </w:pPr>
      <w:r>
        <w:t xml:space="preserve">This Experiment Protocol provides a robust framework for evaluating the role of Social Workers in addressing critical social issues in Uganda Kampala. By generating evidence-based data, this study aims to inform policy decisions and improve the delivery of social services, ultimately enhancing the quality of life for vulnerable communities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Uganda Kampala</dc:title>
  <dc:creator/>
  <dc:language>en</dc:language>
  <cp:keywords/>
  <dcterms:created xsi:type="dcterms:W3CDTF">2026-10-10T01:52:56Z</dcterms:created>
  <dcterms:modified xsi:type="dcterms:W3CDTF">2026-10-10T01:52:56Z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