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Study</w:t>
      </w:r>
      <w:r>
        <w:t xml:space="preserve"> </w:t>
      </w:r>
      <w:r>
        <w:t xml:space="preserve">-</w:t>
      </w:r>
      <w:r>
        <w:t xml:space="preserve"> </w:t>
      </w:r>
      <w:r>
        <w:t xml:space="preserve">Manchester,</w:t>
      </w:r>
      <w:r>
        <w:t xml:space="preserve"> </w:t>
      </w:r>
      <w:r>
        <w:t xml:space="preserve">UK</w:t>
      </w:r>
    </w:p>
    <w:bookmarkStart w:id="20" w:name="Xf843fb4ed04eb3727ec0186ffd6be4d07214fc3"/>
    <w:p>
      <w:pPr>
        <w:pStyle w:val="Heading1"/>
      </w:pPr>
      <w:r>
        <w:t xml:space="preserve">Experiment Protocol: Evaluating the Impact of Integrated Social Worker Interventions on Vulnerable Families in Manchester, United Kingdom</w:t>
      </w:r>
    </w:p>
    <w:p>
      <w:pPr>
        <w:pStyle w:val="FirstParagraph"/>
      </w:pPr>
      <w:r>
        <w:rPr>
          <w:bCs/>
          <w:b/>
        </w:rPr>
        <w:t xml:space="preserve">Protocol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Manchester, United Kingdom</w:t>
      </w:r>
      <w:r>
        <w:br/>
      </w:r>
      <w:r>
        <w:rPr>
          <w:bCs/>
          <w:b/>
        </w:rPr>
        <w:t xml:space="preserve">Principal Investigator:</w:t>
      </w:r>
      <w:r>
        <w:t xml:space="preserve"> </w:t>
      </w:r>
      <w:r>
        <w:t xml:space="preserve">[Name Redacted]</w:t>
      </w:r>
      <w:r>
        <w:br/>
      </w:r>
      <w:r>
        <w:rPr>
          <w:bCs/>
          <w:b/>
        </w:rPr>
        <w:t xml:space="preserve">Institution:</w:t>
      </w:r>
      <w:r>
        <w:t xml:space="preserve"> </w:t>
      </w:r>
      <w:r>
        <w:t xml:space="preserve">[Institution Name Redacted], Manchester</w:t>
      </w:r>
    </w:p>
    <w:bookmarkEnd w:id="20"/>
    <w:p>
      <w:pPr>
        <w:pStyle w:val="BodyText"/>
      </w:pPr>
      <w:r>
        <w:t xml:space="preserve">1. Introduction and Background</w:t>
      </w:r>
    </w:p>
    <w:p>
      <w:pPr>
        <w:pStyle w:val="BodyText"/>
      </w:pPr>
      <w:r>
        <w:t xml:space="preserve">This experiment protocol outlines a structured research study designed to evaluate the effectiveness of integrated social worker interventions on vulnerable families in Manchester, United Kingdom. Manchester, as a major urban centre in the UK, faces significant socio-economic challenges, including poverty, housing insecurity, and mental health issues. Social workers play a critical role in addressing these challenges, yet there is limited empirical evidence on the most effective intervention strategies tailored to the unique context of Manchester.</w:t>
      </w:r>
    </w:p>
    <w:p>
      <w:pPr>
        <w:pStyle w:val="BodyText"/>
      </w:pPr>
      <w:r>
        <w:t xml:space="preserve">The primary objective of this study is to assess whether a multi-disciplinary, community-based social worker intervention model improves outcomes for families compared to traditional, siloed approaches. This protocol adheres to UK research standards, including the Health Research Authority (HRA) guidelines and the British Association of Social Workers (BASW) ethical framework.</w:t>
      </w:r>
    </w:p>
    <w:p>
      <w:pPr>
        <w:pStyle w:val="BodyText"/>
      </w:pPr>
      <w:r>
        <w:t xml:space="preserve">2. Research Objectives</w:t>
      </w:r>
    </w:p>
    <w:p>
      <w:pPr>
        <w:pStyle w:val="BodyText"/>
      </w:pPr>
      <w:r>
        <w:t xml:space="preserve">The study aims to:</w:t>
      </w:r>
    </w:p>
    <w:p>
      <w:pPr>
        <w:numPr>
          <w:ilvl w:val="0"/>
          <w:numId w:val="1001"/>
        </w:numPr>
        <w:pStyle w:val="Compact"/>
      </w:pPr>
      <w:r>
        <w:t xml:space="preserve">Evaluate the impact of integrated social worker interventions on family stability, child welfare, and mental health outcomes.</w:t>
      </w:r>
    </w:p>
    <w:p>
      <w:pPr>
        <w:numPr>
          <w:ilvl w:val="0"/>
          <w:numId w:val="1001"/>
        </w:numPr>
        <w:pStyle w:val="Compact"/>
      </w:pPr>
      <w:r>
        <w:t xml:space="preserve">Compare the effectiveness of integrated interventions versus standard care in Manchester’s socio-economic context.</w:t>
      </w:r>
    </w:p>
    <w:p>
      <w:pPr>
        <w:numPr>
          <w:ilvl w:val="0"/>
          <w:numId w:val="1001"/>
        </w:numPr>
        <w:pStyle w:val="Compact"/>
      </w:pPr>
      <w:r>
        <w:t xml:space="preserve">Identify barriers and facilitators to successful social worker interventions in urban UK settings.</w:t>
      </w:r>
    </w:p>
    <w:p>
      <w:pPr>
        <w:numPr>
          <w:ilvl w:val="0"/>
          <w:numId w:val="1001"/>
        </w:numPr>
        <w:pStyle w:val="Compact"/>
      </w:pPr>
      <w:r>
        <w:t xml:space="preserve">Provide evidence-based recommendations for policy and practice in social work within Manchester and similar UK cities.</w:t>
      </w:r>
    </w:p>
    <w:p>
      <w:pPr>
        <w:pStyle w:val="FirstParagraph"/>
      </w:pPr>
      <w:r>
        <w:t xml:space="preserve">3. Methodology</w:t>
      </w:r>
    </w:p>
    <w:p>
      <w:pPr>
        <w:pStyle w:val="BodyText"/>
      </w:pPr>
      <w:r>
        <w:rPr>
          <w:bCs/>
          <w:b/>
        </w:rPr>
        <w:t xml:space="preserve">3.1 Study Design</w:t>
      </w:r>
      <w:r>
        <w:br/>
      </w:r>
      <w:r>
        <w:t xml:space="preserve">This study employs a randomised controlled trial (RCT) design, with participants allocated to either an intervention group (integrated social worker model) or a control group (standard care). The RCT design ensures rigorous evaluation of the intervention’s effectiveness.</w:t>
      </w:r>
    </w:p>
    <w:p>
      <w:pPr>
        <w:pStyle w:val="BodyText"/>
      </w:pPr>
      <w:r>
        <w:rPr>
          <w:bCs/>
          <w:b/>
        </w:rPr>
        <w:t xml:space="preserve">3.2 Setting</w:t>
      </w:r>
      <w:r>
        <w:br/>
      </w:r>
      <w:r>
        <w:t xml:space="preserve">The study will be conducted in Manchester, United Kingdom, focusing on areas with high levels of socio-economic deprivation, as identified by the English Indices of Deprivation. Partner organisations include Manchester City Council, local NHS trusts, and community-based charities.</w:t>
      </w:r>
    </w:p>
    <w:p>
      <w:pPr>
        <w:pStyle w:val="BodyText"/>
      </w:pPr>
      <w:r>
        <w:rPr>
          <w:bCs/>
          <w:b/>
        </w:rPr>
        <w:t xml:space="preserve">3.3 Participants</w:t>
      </w:r>
      <w:r>
        <w:br/>
      </w:r>
      <w:r>
        <w:t xml:space="preserve">Eligible participants include families referred to social services in Manchester due to concerns about child welfare, domestic violence, substance misuse, or mental health issues. Inclusion criteria are:</w:t>
      </w:r>
    </w:p>
    <w:p>
      <w:pPr>
        <w:numPr>
          <w:ilvl w:val="0"/>
          <w:numId w:val="1002"/>
        </w:numPr>
        <w:pStyle w:val="Compact"/>
      </w:pPr>
      <w:r>
        <w:t xml:space="preserve">Residing in Manchester for at least six months.</w:t>
      </w:r>
    </w:p>
    <w:p>
      <w:pPr>
        <w:numPr>
          <w:ilvl w:val="0"/>
          <w:numId w:val="1002"/>
        </w:numPr>
        <w:pStyle w:val="Compact"/>
      </w:pPr>
      <w:r>
        <w:t xml:space="preserve">At least one child under 18 in the household.</w:t>
      </w:r>
    </w:p>
    <w:p>
      <w:pPr>
        <w:numPr>
          <w:ilvl w:val="0"/>
          <w:numId w:val="1002"/>
        </w:numPr>
        <w:pStyle w:val="Compact"/>
      </w:pPr>
      <w:r>
        <w:t xml:space="preserve">Consent provided by all adult household members.</w:t>
      </w:r>
    </w:p>
    <w:p>
      <w:pPr>
        <w:pStyle w:val="FirstParagraph"/>
      </w:pPr>
      <w:r>
        <w:t xml:space="preserve">Exclusion criteria include families already enrolled in similar intervention programmes or those with imminent safeguarding risks requiring immediate statutory intervention.</w:t>
      </w:r>
    </w:p>
    <w:p>
      <w:pPr>
        <w:pStyle w:val="BodyText"/>
      </w:pPr>
      <w:r>
        <w:t xml:space="preserve">4. Intervention Protocol</w:t>
      </w:r>
    </w:p>
    <w:p>
      <w:pPr>
        <w:pStyle w:val="BodyText"/>
      </w:pPr>
      <w:r>
        <w:rPr>
          <w:bCs/>
          <w:b/>
        </w:rPr>
        <w:t xml:space="preserve">4.1 Integrated Social Worker Model (Intervention Group)</w:t>
      </w:r>
      <w:r>
        <w:br/>
      </w:r>
      <w:r>
        <w:t xml:space="preserve">Families in the intervention group will receive support from a multi-disciplinary team comprising social workers, mental health professionals, housing advisors, and employment specialists. Key components include:</w:t>
      </w:r>
    </w:p>
    <w:p>
      <w:pPr>
        <w:numPr>
          <w:ilvl w:val="0"/>
          <w:numId w:val="1003"/>
        </w:numPr>
        <w:pStyle w:val="Compact"/>
      </w:pPr>
      <w:r>
        <w:t xml:space="preserve">Weekly home visits by a dedicated social worker.</w:t>
      </w:r>
    </w:p>
    <w:p>
      <w:pPr>
        <w:numPr>
          <w:ilvl w:val="0"/>
          <w:numId w:val="1003"/>
        </w:numPr>
        <w:pStyle w:val="Compact"/>
      </w:pPr>
      <w:r>
        <w:t xml:space="preserve">Access to on-site mental health and substance misuse support.</w:t>
      </w:r>
    </w:p>
    <w:p>
      <w:pPr>
        <w:numPr>
          <w:ilvl w:val="0"/>
          <w:numId w:val="1003"/>
        </w:numPr>
        <w:pStyle w:val="Compact"/>
      </w:pPr>
      <w:r>
        <w:t xml:space="preserve">Assistance with housing stability and financial literacy.</w:t>
      </w:r>
    </w:p>
    <w:p>
      <w:pPr>
        <w:numPr>
          <w:ilvl w:val="0"/>
          <w:numId w:val="1003"/>
        </w:numPr>
        <w:pStyle w:val="Compact"/>
      </w:pPr>
      <w:r>
        <w:t xml:space="preserve">Regular group sessions for parents and children to build community support networks.</w:t>
      </w:r>
    </w:p>
    <w:p>
      <w:pPr>
        <w:pStyle w:val="FirstParagraph"/>
      </w:pPr>
      <w:r>
        <w:rPr>
          <w:bCs/>
          <w:b/>
        </w:rPr>
        <w:t xml:space="preserve">4.2 Standard Care (Control Group)</w:t>
      </w:r>
      <w:r>
        <w:br/>
      </w:r>
      <w:r>
        <w:t xml:space="preserve">Families in the control group will receive standard social services as provided by Manchester City Council, including case management and referrals to external services as needed.</w:t>
      </w:r>
    </w:p>
    <w:p>
      <w:pPr>
        <w:pStyle w:val="BodyText"/>
      </w:pPr>
      <w:r>
        <w:t xml:space="preserve">5. Data Collection and Analysis</w:t>
      </w:r>
    </w:p>
    <w:p>
      <w:pPr>
        <w:pStyle w:val="BodyText"/>
      </w:pPr>
      <w:r>
        <w:rPr>
          <w:bCs/>
          <w:b/>
        </w:rPr>
        <w:t xml:space="preserve">5.1 Data Collection</w:t>
      </w:r>
      <w:r>
        <w:br/>
      </w:r>
      <w:r>
        <w:t xml:space="preserve">Data will be collected at baseline, six months, and twelve months post-intervention. Measures include:</w:t>
      </w:r>
    </w:p>
    <w:p>
      <w:pPr>
        <w:numPr>
          <w:ilvl w:val="0"/>
          <w:numId w:val="1004"/>
        </w:numPr>
        <w:pStyle w:val="Compact"/>
      </w:pPr>
      <w:r>
        <w:t xml:space="preserve">Family stability (e.g., housing tenure, income changes).</w:t>
      </w:r>
    </w:p>
    <w:p>
      <w:pPr>
        <w:numPr>
          <w:ilvl w:val="0"/>
          <w:numId w:val="1004"/>
        </w:numPr>
        <w:pStyle w:val="Compact"/>
      </w:pPr>
      <w:r>
        <w:t xml:space="preserve">Child welfare outcomes (e.g., school attendance, safeguarding incidents).</w:t>
      </w:r>
    </w:p>
    <w:p>
      <w:pPr>
        <w:numPr>
          <w:ilvl w:val="0"/>
          <w:numId w:val="1004"/>
        </w:numPr>
        <w:pStyle w:val="Compact"/>
      </w:pPr>
      <w:r>
        <w:t xml:space="preserve">Mental health indicators (e.g., GHQ-12 scores for adults, SDQ for children).</w:t>
      </w:r>
    </w:p>
    <w:p>
      <w:pPr>
        <w:numPr>
          <w:ilvl w:val="0"/>
          <w:numId w:val="1004"/>
        </w:numPr>
        <w:pStyle w:val="Compact"/>
      </w:pPr>
      <w:r>
        <w:t xml:space="preserve">Qualitative interviews with participants and social workers.</w:t>
      </w:r>
    </w:p>
    <w:p>
      <w:pPr>
        <w:pStyle w:val="FirstParagraph"/>
      </w:pPr>
      <w:r>
        <w:rPr>
          <w:bCs/>
          <w:b/>
        </w:rPr>
        <w:t xml:space="preserve">5.2 Data Analysis</w:t>
      </w:r>
      <w:r>
        <w:br/>
      </w:r>
      <w:r>
        <w:t xml:space="preserve">Quantitative data will be analysed using mixed-effects models to account for clustering within families. Qualitative data will be thematically analysed to identify key insights. All analyses will be conducted in accordance with UK data protection laws, including the General Data Protection Regulation (GDPR).</w:t>
      </w:r>
    </w:p>
    <w:p>
      <w:pPr>
        <w:pStyle w:val="BodyText"/>
      </w:pPr>
      <w:r>
        <w:t xml:space="preserve">6. Ethical Considerations</w:t>
      </w:r>
    </w:p>
    <w:p>
      <w:pPr>
        <w:pStyle w:val="BodyText"/>
      </w:pPr>
      <w:r>
        <w:t xml:space="preserve">This study has received ethical approval from [Ethics Committee Name Redacted]. Key ethical considerations include:</w:t>
      </w:r>
    </w:p>
    <w:p>
      <w:pPr>
        <w:numPr>
          <w:ilvl w:val="0"/>
          <w:numId w:val="1005"/>
        </w:numPr>
        <w:pStyle w:val="Compact"/>
      </w:pPr>
      <w:r>
        <w:t xml:space="preserve">Informed consent: Participants will be provided with clear information about the study and their right to withdraw at any time.</w:t>
      </w:r>
    </w:p>
    <w:p>
      <w:pPr>
        <w:numPr>
          <w:ilvl w:val="0"/>
          <w:numId w:val="1005"/>
        </w:numPr>
        <w:pStyle w:val="Compact"/>
      </w:pPr>
      <w:r>
        <w:t xml:space="preserve">Confidentiality: All data will be anonymised and stored securely in compliance with UK GDPR.</w:t>
      </w:r>
    </w:p>
    <w:p>
      <w:pPr>
        <w:numPr>
          <w:ilvl w:val="0"/>
          <w:numId w:val="1005"/>
        </w:numPr>
        <w:pStyle w:val="Compact"/>
      </w:pPr>
      <w:r>
        <w:t xml:space="preserve">Safeguarding: Protocols are in place to address any safeguarding concerns that arise during the study.</w:t>
      </w:r>
    </w:p>
    <w:p>
      <w:pPr>
        <w:pStyle w:val="FirstParagraph"/>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Recruitment</w:t>
            </w:r>
          </w:p>
        </w:tc>
        <w:tc>
          <w:tcPr/>
          <w:p>
            <w:pPr>
              <w:pStyle w:val="Compact"/>
              <w:jc w:val="left"/>
            </w:pPr>
            <w:r>
              <w:t xml:space="preserve">6 months</w:t>
            </w:r>
          </w:p>
        </w:tc>
      </w:tr>
      <w:tr>
        <w:tc>
          <w:tcPr/>
          <w:p>
            <w:pPr>
              <w:pStyle w:val="Compact"/>
              <w:jc w:val="left"/>
            </w:pPr>
            <w:r>
              <w:t xml:space="preserve">Intervention</w:t>
            </w:r>
          </w:p>
        </w:tc>
        <w:tc>
          <w:tcPr/>
          <w:p>
            <w:pPr>
              <w:pStyle w:val="Compact"/>
              <w:jc w:val="left"/>
            </w:pPr>
            <w:r>
              <w:t xml:space="preserve">12 months</w:t>
            </w:r>
          </w:p>
        </w:tc>
      </w:tr>
      <w:tr>
        <w:tc>
          <w:tcPr/>
          <w:p>
            <w:pPr>
              <w:pStyle w:val="Compact"/>
              <w:jc w:val="left"/>
            </w:pPr>
            <w:r>
              <w:t xml:space="preserve">Data Analysis</w:t>
            </w:r>
          </w:p>
        </w:tc>
        <w:tc>
          <w:tcPr/>
          <w:p>
            <w:pPr>
              <w:pStyle w:val="Compact"/>
              <w:jc w:val="left"/>
            </w:pPr>
            <w:r>
              <w:t xml:space="preserve">3 months</w:t>
            </w:r>
          </w:p>
        </w:tc>
      </w:tr>
      <w:tr>
        <w:tc>
          <w:tcPr/>
          <w:p>
            <w:pPr>
              <w:pStyle w:val="Compact"/>
              <w:jc w:val="left"/>
            </w:pPr>
            <w:r>
              <w:t xml:space="preserve">Reporting</w:t>
            </w:r>
          </w:p>
        </w:tc>
        <w:tc>
          <w:tcPr/>
          <w:p>
            <w:pPr>
              <w:pStyle w:val="Compact"/>
              <w:jc w:val="left"/>
            </w:pPr>
            <w:r>
              <w:t xml:space="preserve">3 months</w:t>
            </w:r>
          </w:p>
        </w:tc>
      </w:tr>
    </w:tbl>
    <w:p>
      <w:pPr>
        <w:pStyle w:val="BodyText"/>
      </w:pPr>
      <w:r>
        <w:t xml:space="preserve">8. Dissemination</w:t>
      </w:r>
    </w:p>
    <w:p>
      <w:pPr>
        <w:pStyle w:val="BodyText"/>
      </w:pPr>
      <w:r>
        <w:t xml:space="preserve">Findings will be disseminated through academic publications, policy briefs for Manchester City Council and UK government bodies, and community workshops. The study aims to contribute to the broader understanding of effective social work practices in urban UK contexts.</w:t>
      </w:r>
    </w:p>
    <w:p>
      <w:pPr>
        <w:pStyle w:val="BodyText"/>
      </w:pPr>
      <w:r>
        <w:t xml:space="preserve">This protocol is subject to review and amendment as necessary. Any changes will be documented and approved by the relevant ethics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Study - Manchester, UK</dc:title>
  <dc:creator/>
  <dc:language>en</dc:language>
  <cp:keywords/>
  <dcterms:created xsi:type="dcterms:W3CDTF">2026-10-10T02:35:27Z</dcterms:created>
  <dcterms:modified xsi:type="dcterms:W3CDTF">2026-10-10T02:35:27Z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