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San</w:t>
      </w:r>
      <w:r>
        <w:t xml:space="preserve"> </w:t>
      </w:r>
      <w:r>
        <w:t xml:space="preserve">Francisco</w:t>
      </w:r>
    </w:p>
    <w:bookmarkStart w:id="20" w:name="Xc165565ca60f99ddfc81df0b54aedf198da9164"/>
    <w:p>
      <w:pPr>
        <w:pStyle w:val="Heading1"/>
      </w:pPr>
      <w:r>
        <w:t xml:space="preserve">Experiment Protocol: Mobile Crisis Intervention by Social Workers in San Francisco</w:t>
      </w:r>
    </w:p>
    <w:p>
      <w:pPr>
        <w:pStyle w:val="FirstParagraph"/>
      </w:pPr>
      <w:r>
        <w:rPr>
          <w:bCs/>
          <w:b/>
        </w:rPr>
        <w:t xml:space="preserve">Protocol ID:</w:t>
      </w:r>
      <w:r>
        <w:t xml:space="preserve"> </w:t>
      </w:r>
      <w:r>
        <w:t xml:space="preserve">SF-SW-2024-001</w:t>
      </w:r>
    </w:p>
    <w:p>
      <w:pPr>
        <w:pStyle w:val="BodyText"/>
      </w:pPr>
      <w:r>
        <w:rPr>
          <w:bCs/>
          <w:b/>
        </w:rPr>
        <w:t xml:space="preserve">Location:</w:t>
      </w:r>
      <w:r>
        <w:t xml:space="preserve"> </w:t>
      </w:r>
      <w:r>
        <w:t xml:space="preserve">San Francisco, California, United States</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San Francisco Department of Public Health / University Research Partner</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methodology for a randomized controlled trial (RCT) designed to evaluate the efficacy of deploying licensed Social Workers as the primary first responders for non-violent mental health crises in San Francisco. The United States, and specifically San Francisco, faces a complex intersection of homelessness, substance use disorders, and untreated mental illness. Current emergency response models rely heavily on law enforcement, which often leads to criminalization rather than care.</w:t>
      </w:r>
    </w:p>
    <w:p>
      <w:pPr>
        <w:pStyle w:val="BodyText"/>
      </w:pPr>
      <w:r>
        <w:t xml:space="preserve">This study aims to determine if a Social Worker-led intervention model reduces hospitalization rates, decreases recidivism in emergency services, and improves patient satisfaction compared to traditional police-led responses.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reduction in police use of force during mental health crisis calls.</w:t>
      </w:r>
    </w:p>
    <w:p>
      <w:pPr>
        <w:numPr>
          <w:ilvl w:val="0"/>
          <w:numId w:val="1001"/>
        </w:numPr>
        <w:pStyle w:val="Compact"/>
      </w:pPr>
      <w:r>
        <w:t xml:space="preserve">To assess the rate of successful de-escalation by Social Workers versus law enforcement.</w:t>
      </w:r>
    </w:p>
    <w:p>
      <w:pPr>
        <w:numPr>
          <w:ilvl w:val="0"/>
          <w:numId w:val="1001"/>
        </w:numPr>
        <w:pStyle w:val="Compact"/>
      </w:pPr>
      <w:r>
        <w:t xml:space="preserve">To evaluate the cost-effectiveness of Social Worker interventions within the San Francisco municipal budget.</w:t>
      </w:r>
    </w:p>
    <w:p>
      <w:pPr>
        <w:numPr>
          <w:ilvl w:val="0"/>
          <w:numId w:val="1001"/>
        </w:numPr>
        <w:pStyle w:val="Compact"/>
      </w:pPr>
      <w:r>
        <w:t xml:space="preserve">To analyze long-term outcomes for participants, including housing stability and engagement with healthcare services.</w:t>
      </w:r>
    </w:p>
    <w:p>
      <w:pPr>
        <w:pStyle w:val="FirstParagraph"/>
      </w:pPr>
      <w:r>
        <w:t xml:space="preserve">3. Study Design</w:t>
      </w:r>
    </w:p>
    <w:p>
      <w:pPr>
        <w:pStyle w:val="BodyText"/>
      </w:pPr>
      <w:r>
        <w:t xml:space="preserve">This study will utilize a cluster-randomized design. Calls to the San Francisco Emergency Communication Center (ECC) will be screened for eligibility. Eligible calls involve individuals experiencing a mental health crisis or substance use episode without immediate threat of lethal violence.</w:t>
      </w:r>
    </w:p>
    <w:p>
      <w:pPr>
        <w:pStyle w:val="BodyText"/>
      </w:pPr>
      <w:r>
        <w:t xml:space="preserve">Eligible cases will be randomly assigned to one of two groups:</w:t>
      </w:r>
    </w:p>
    <w:p>
      <w:pPr>
        <w:numPr>
          <w:ilvl w:val="0"/>
          <w:numId w:val="1002"/>
        </w:numPr>
        <w:pStyle w:val="Compact"/>
      </w:pPr>
      <w:r>
        <w:rPr>
          <w:bCs/>
          <w:b/>
        </w:rPr>
        <w:t xml:space="preserve">Intervention Group:</w:t>
      </w:r>
      <w:r>
        <w:t xml:space="preserve"> </w:t>
      </w:r>
      <w:r>
        <w:t xml:space="preserve">Dispatched to a team consisting of two licensed Clinical Social Workers (LCSWs) and a paramedic.</w:t>
      </w:r>
    </w:p>
    <w:p>
      <w:pPr>
        <w:numPr>
          <w:ilvl w:val="0"/>
          <w:numId w:val="1002"/>
        </w:numPr>
        <w:pStyle w:val="Compact"/>
      </w:pPr>
      <w:r>
        <w:rPr>
          <w:bCs/>
          <w:b/>
        </w:rPr>
        <w:t xml:space="preserve">Control Group:</w:t>
      </w:r>
      <w:r>
        <w:t xml:space="preserve"> </w:t>
      </w:r>
      <w:r>
        <w:t xml:space="preserve">Dispatched to standard San Francisco Police Department (SFPD) officers, potentially accompanied by a paramedic.</w:t>
      </w:r>
    </w:p>
    <w:p>
      <w:pPr>
        <w:pStyle w:val="FirstParagraph"/>
      </w:pPr>
      <w:r>
        <w:t xml:space="preserve">4. Participant Selection and Inclusion Criteria</w:t>
      </w:r>
    </w:p>
    <w:p>
      <w:pPr>
        <w:pStyle w:val="BodyText"/>
      </w:pPr>
      <w:r>
        <w:t xml:space="preserve">The study population consists of adults (18+) residing in or visiting San Francisco. Inclusion criteria include:</w:t>
      </w:r>
    </w:p>
    <w:p>
      <w:pPr>
        <w:numPr>
          <w:ilvl w:val="0"/>
          <w:numId w:val="1003"/>
        </w:numPr>
        <w:pStyle w:val="Compact"/>
      </w:pPr>
      <w:r>
        <w:t xml:space="preserve">Caller reports symptoms of acute mental distress, psychosis, or severe substance intoxication.</w:t>
      </w:r>
    </w:p>
    <w:p>
      <w:pPr>
        <w:numPr>
          <w:ilvl w:val="0"/>
          <w:numId w:val="1003"/>
        </w:numPr>
        <w:pStyle w:val="Compact"/>
      </w:pPr>
      <w:r>
        <w:t xml:space="preserve">No reported presence of firearms or immediate threat to life.</w:t>
      </w:r>
    </w:p>
    <w:p>
      <w:pPr>
        <w:numPr>
          <w:ilvl w:val="0"/>
          <w:numId w:val="1003"/>
        </w:numPr>
        <w:pStyle w:val="Compact"/>
      </w:pPr>
      <w:r>
        <w:t xml:space="preserve">Location is accessible by standard emergency vehicles within the city limits.</w:t>
      </w:r>
    </w:p>
    <w:p>
      <w:pPr>
        <w:pStyle w:val="FirstParagraph"/>
      </w:pPr>
      <w:r>
        <w:t xml:space="preserve">Exclusion criteria include active violent behavior, domestic violence incidents involving weapons, or calls requiring immediate criminal investigation.</w:t>
      </w:r>
    </w:p>
    <w:p>
      <w:pPr>
        <w:pStyle w:val="BodyText"/>
      </w:pPr>
      <w:r>
        <w:t xml:space="preserve">5. Role of the Social Worker</w:t>
      </w:r>
    </w:p>
    <w:p>
      <w:pPr>
        <w:pStyle w:val="BodyText"/>
      </w:pPr>
      <w:r>
        <w:t xml:space="preserve">In this protocol, the Social Worker is the lead clinician. Their responsibilities include:</w:t>
      </w:r>
    </w:p>
    <w:p>
      <w:pPr>
        <w:numPr>
          <w:ilvl w:val="0"/>
          <w:numId w:val="1004"/>
        </w:numPr>
        <w:pStyle w:val="Compact"/>
      </w:pPr>
      <w:r>
        <w:rPr>
          <w:bCs/>
          <w:b/>
        </w:rPr>
        <w:t xml:space="preserve">Assessment:</w:t>
      </w:r>
      <w:r>
        <w:t xml:space="preserve"> </w:t>
      </w:r>
      <w:r>
        <w:t xml:space="preserve">Conducting rapid biopsychosocial assessments to determine the root cause of the crisis.</w:t>
      </w:r>
    </w:p>
    <w:p>
      <w:pPr>
        <w:numPr>
          <w:ilvl w:val="0"/>
          <w:numId w:val="1004"/>
        </w:numPr>
        <w:pStyle w:val="Compact"/>
      </w:pPr>
      <w:r>
        <w:rPr>
          <w:bCs/>
          <w:b/>
        </w:rPr>
        <w:t xml:space="preserve">De-escalation:</w:t>
      </w:r>
      <w:r>
        <w:t xml:space="preserve"> </w:t>
      </w:r>
      <w:r>
        <w:t xml:space="preserve">Utilizing trauma-informed care techniques to calm the individual.</w:t>
      </w:r>
    </w:p>
    <w:p>
      <w:pPr>
        <w:numPr>
          <w:ilvl w:val="0"/>
          <w:numId w:val="1004"/>
        </w:numPr>
        <w:pStyle w:val="Compact"/>
      </w:pPr>
      <w:r>
        <w:rPr>
          <w:bCs/>
          <w:b/>
        </w:rPr>
        <w:t xml:space="preserve">Resource Navigation:</w:t>
      </w:r>
      <w:r>
        <w:t xml:space="preserve"> </w:t>
      </w:r>
      <w:r>
        <w:t xml:space="preserve">Connecting individuals with San Francisco-specific resources such as shelter beds, detox centers, or outpatient therapy.</w:t>
      </w:r>
    </w:p>
    <w:p>
      <w:pPr>
        <w:numPr>
          <w:ilvl w:val="0"/>
          <w:numId w:val="1004"/>
        </w:numPr>
        <w:pStyle w:val="Compact"/>
      </w:pPr>
      <w:r>
        <w:rPr>
          <w:bCs/>
          <w:b/>
        </w:rPr>
        <w:t xml:space="preserve">Advocacy:</w:t>
      </w:r>
      <w:r>
        <w:t xml:space="preserve"> </w:t>
      </w:r>
      <w:r>
        <w:t xml:space="preserve">Ensuring the individual's rights are protected and that they are not unnecessarily detained.</w:t>
      </w:r>
    </w:p>
    <w:p>
      <w:pPr>
        <w:pStyle w:val="FirstParagraph"/>
      </w:pPr>
      <w:r>
        <w:t xml:space="preserve">6. Data Collection Methods</w:t>
      </w:r>
    </w:p>
    <w:p>
      <w:pPr>
        <w:pStyle w:val="BodyText"/>
      </w:pPr>
      <w:r>
        <w:t xml:space="preserve">Data will be collected through multiple channels to ensure robustness: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Data Source</w:t>
            </w:r>
          </w:p>
        </w:tc>
        <w:tc>
          <w:tcPr/>
          <w:p>
            <w:pPr>
              <w:pStyle w:val="Compact"/>
              <w:jc w:val="left"/>
            </w:pPr>
            <w:r>
              <w:t xml:space="preserve">Variables Collected</w:t>
            </w:r>
          </w:p>
        </w:tc>
      </w:tr>
      <w:tr>
        <w:tc>
          <w:tcPr/>
          <w:p>
            <w:pPr>
              <w:pStyle w:val="Compact"/>
              <w:jc w:val="left"/>
            </w:pPr>
            <w:r>
              <w:t xml:space="preserve">Dispatch Logs</w:t>
            </w:r>
          </w:p>
        </w:tc>
        <w:tc>
          <w:tcPr/>
          <w:p>
            <w:pPr>
              <w:pStyle w:val="Compact"/>
              <w:jc w:val="left"/>
            </w:pPr>
            <w:r>
              <w:t xml:space="preserve">Response time, call type, location demographics.</w:t>
            </w:r>
          </w:p>
        </w:tc>
      </w:tr>
      <w:tr>
        <w:tc>
          <w:tcPr/>
          <w:p>
            <w:pPr>
              <w:pStyle w:val="Compact"/>
              <w:jc w:val="left"/>
            </w:pPr>
            <w:r>
              <w:t xml:space="preserve">Field Reports</w:t>
            </w:r>
          </w:p>
        </w:tc>
        <w:tc>
          <w:tcPr/>
          <w:p>
            <w:pPr>
              <w:pStyle w:val="Compact"/>
              <w:jc w:val="left"/>
            </w:pPr>
            <w:r>
              <w:t xml:space="preserve">Intervention type, use of force, transport destination.</w:t>
            </w:r>
          </w:p>
        </w:tc>
      </w:tr>
      <w:tr>
        <w:tc>
          <w:tcPr/>
          <w:p>
            <w:pPr>
              <w:pStyle w:val="Compact"/>
              <w:jc w:val="left"/>
            </w:pPr>
            <w:r>
              <w:t xml:space="preserve">Medical Records</w:t>
            </w:r>
          </w:p>
        </w:tc>
        <w:tc>
          <w:tcPr/>
          <w:p>
            <w:pPr>
              <w:pStyle w:val="Compact"/>
              <w:jc w:val="left"/>
            </w:pPr>
            <w:r>
              <w:t xml:space="preserve">Hospital admissions, psychiatric holds (5150), treatment adherence.</w:t>
            </w:r>
          </w:p>
        </w:tc>
      </w:tr>
      <w:tr>
        <w:tc>
          <w:tcPr/>
          <w:p>
            <w:pPr>
              <w:pStyle w:val="Compact"/>
              <w:jc w:val="left"/>
            </w:pPr>
            <w:r>
              <w:t xml:space="preserve">Follow-up Surveys</w:t>
            </w:r>
          </w:p>
        </w:tc>
        <w:tc>
          <w:tcPr/>
          <w:p>
            <w:pPr>
              <w:pStyle w:val="Compact"/>
              <w:jc w:val="left"/>
            </w:pPr>
            <w:r>
              <w:t xml:space="preserve">Patient satisfaction, perceived safety, housing status at 30/90 days.</w:t>
            </w:r>
          </w:p>
        </w:tc>
      </w:tr>
    </w:tbl>
    <w:p>
      <w:pPr>
        <w:pStyle w:val="BodyText"/>
      </w:pPr>
      <w:r>
        <w:t xml:space="preserve">7. Ethical Considerations and IRB Approval</w:t>
      </w:r>
    </w:p>
    <w:p>
      <w:pPr>
        <w:pStyle w:val="BodyText"/>
      </w:pPr>
      <w:r>
        <w:t xml:space="preserve">This protocol has been submitted to the Institutional Review Board (IRB) of the partnering university and the San Francisco Department of Public Health. Informed consent will be obtained from participants when clinically feasible. If a participant lacks capacity, assent will be sought, and consent will be obtained from a legal guardian if available. All data will be de-identified to protect participant privacy in accordance with HIPAA regulations.</w:t>
      </w:r>
    </w:p>
    <w:p>
      <w:pPr>
        <w:pStyle w:val="BodyText"/>
      </w:pPr>
      <w:r>
        <w:t xml:space="preserve">8. Timeline and Milestones</w:t>
      </w:r>
    </w:p>
    <w:p>
      <w:pPr>
        <w:numPr>
          <w:ilvl w:val="0"/>
          <w:numId w:val="1005"/>
        </w:numPr>
        <w:pStyle w:val="Compact"/>
      </w:pPr>
      <w:r>
        <w:rPr>
          <w:bCs/>
          <w:b/>
        </w:rPr>
        <w:t xml:space="preserve">Months 1-3:</w:t>
      </w:r>
      <w:r>
        <w:t xml:space="preserve"> </w:t>
      </w:r>
      <w:r>
        <w:t xml:space="preserve">Recruitment and training of Social Worker teams.</w:t>
      </w:r>
    </w:p>
    <w:p>
      <w:pPr>
        <w:numPr>
          <w:ilvl w:val="0"/>
          <w:numId w:val="1005"/>
        </w:numPr>
        <w:pStyle w:val="Compact"/>
      </w:pPr>
      <w:r>
        <w:rPr>
          <w:bCs/>
          <w:b/>
        </w:rPr>
        <w:t xml:space="preserve">Months 4-15:</w:t>
      </w:r>
      <w:r>
        <w:t xml:space="preserve"> </w:t>
      </w:r>
      <w:r>
        <w:t xml:space="preserve">Active data collection and intervention deployment.</w:t>
      </w:r>
    </w:p>
    <w:p>
      <w:pPr>
        <w:numPr>
          <w:ilvl w:val="0"/>
          <w:numId w:val="1005"/>
        </w:numPr>
        <w:pStyle w:val="Compact"/>
      </w:pPr>
      <w:r>
        <w:rPr>
          <w:bCs/>
          <w:b/>
        </w:rPr>
        <w:t xml:space="preserve">Months 16-18:</w:t>
      </w:r>
      <w:r>
        <w:t xml:space="preserve"> </w:t>
      </w:r>
      <w:r>
        <w:t xml:space="preserve">Data analysis and statistical review.</w:t>
      </w:r>
    </w:p>
    <w:p>
      <w:pPr>
        <w:numPr>
          <w:ilvl w:val="0"/>
          <w:numId w:val="1005"/>
        </w:numPr>
        <w:pStyle w:val="Compact"/>
      </w:pPr>
      <w:r>
        <w:rPr>
          <w:bCs/>
          <w:b/>
        </w:rPr>
        <w:t xml:space="preserve">Month 19:</w:t>
      </w:r>
      <w:r>
        <w:t xml:space="preserve"> </w:t>
      </w:r>
      <w:r>
        <w:t xml:space="preserve">Publication of findings and policy recommendations for San Francisco.</w:t>
      </w:r>
    </w:p>
    <w:p>
      <w:pPr>
        <w:pStyle w:val="FirstParagraph"/>
      </w:pPr>
      <w:r>
        <w:t xml:space="preserve">9. Conclusion</w:t>
      </w:r>
    </w:p>
    <w:p>
      <w:pPr>
        <w:pStyle w:val="BodyText"/>
      </w:pPr>
      <w:r>
        <w:t xml:space="preserve">This Experiment Protocol represents a critical step in reimagining public safety in San Francisco. By centering the Social Worker in the crisis response model, we aim to create a more humane, effective, and equitable system for the United States. The findings will provide empirical evidence to support or refine the integration of social services into emergency response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San Francisco</dc:title>
  <dc:creator/>
  <dc:language>en</dc:language>
  <cp:keywords/>
  <dcterms:created xsi:type="dcterms:W3CDTF">2026-10-10T07:00:53Z</dcterms:created>
  <dcterms:modified xsi:type="dcterms:W3CDTF">2026-10-10T07:00:53Z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