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Tashkent,</w:t>
      </w:r>
      <w:r>
        <w:t xml:space="preserve"> </w:t>
      </w:r>
      <w:r>
        <w:t xml:space="preserve">Uzbekistan</w:t>
      </w:r>
    </w:p>
    <w:bookmarkStart w:id="32" w:name="Xa539e940bc9adb8a31d55e383909366f6e2834d"/>
    <w:p>
      <w:pPr>
        <w:pStyle w:val="Heading1"/>
      </w:pPr>
      <w:r>
        <w:t xml:space="preserve">Experiment Protocol: Community-Based Social Worker Intervention Model</w:t>
      </w:r>
    </w:p>
    <w:p>
      <w:pPr>
        <w:pStyle w:val="FirstParagraph"/>
      </w:pPr>
      <w:r>
        <w:rPr>
          <w:bCs/>
          <w:b/>
        </w:rPr>
        <w:t xml:space="preserve">Location:</w:t>
      </w:r>
      <w:r>
        <w:t xml:space="preserve"> </w:t>
      </w:r>
      <w:r>
        <w:t xml:space="preserve">Tashkent, Uzbekistan</w:t>
      </w:r>
    </w:p>
    <w:p>
      <w:pPr>
        <w:pStyle w:val="BodyText"/>
      </w:pPr>
      <w:r>
        <w:rPr>
          <w:bCs/>
          <w:b/>
        </w:rPr>
        <w:t xml:space="preserve">Target Profession:</w:t>
      </w:r>
      <w:r>
        <w:t xml:space="preserve"> </w:t>
      </w:r>
      <w:r>
        <w:t xml:space="preserve">Social Worker</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testing a new community-based intervention model designed for Social Workers operating within the urban environment of Tashkent, Uzbekistan. As Uzbekistan undergoes significant social and economic reforms, the demand for professional social support services has increased. Tashkent, as the capital and largest city, presents a unique microcosm of these challenges, ranging from urban poverty and elderly care to youth unemployment and family support.</w:t>
      </w:r>
    </w:p>
    <w:p>
      <w:pPr>
        <w:pStyle w:val="BodyText"/>
      </w:pPr>
      <w:r>
        <w:t xml:space="preserve">Currently, the role of the Social Worker in Uzbekistan is evolving from a state-centric administrative function to a more holistic, client-centered approach. This experiment aims to evaluate the efficacy of a hybrid intervention model that combines traditional state welfare mechanisms with modern psychosocial support techniques. The primary objective is to determine if this enhanced model improves client outcomes and professional satisfaction among Social Workers in Tashkent compared to the standard operating procedures.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impact of a structured, trauma-informed care training program on the performance of Social Workers in Tashkent.</w:t>
      </w:r>
    </w:p>
    <w:p>
      <w:pPr>
        <w:numPr>
          <w:ilvl w:val="0"/>
          <w:numId w:val="1001"/>
        </w:numPr>
        <w:pStyle w:val="Compact"/>
      </w:pPr>
      <w:r>
        <w:t xml:space="preserve">To evaluate the effectiveness of digital case management tools in streamlining the workflow of Social Workers within the Uzbekistan regulatory framework.</w:t>
      </w:r>
    </w:p>
    <w:p>
      <w:pPr>
        <w:numPr>
          <w:ilvl w:val="0"/>
          <w:numId w:val="1001"/>
        </w:numPr>
        <w:pStyle w:val="Compact"/>
      </w:pPr>
      <w:r>
        <w:t xml:space="preserve">To measure changes in client well-being, specifically focusing on vulnerable groups such as the elderly, single-parent families, and individuals with disabilities.</w:t>
      </w:r>
    </w:p>
    <w:p>
      <w:pPr>
        <w:numPr>
          <w:ilvl w:val="0"/>
          <w:numId w:val="1001"/>
        </w:numPr>
        <w:pStyle w:val="Compact"/>
      </w:pPr>
      <w:r>
        <w:t xml:space="preserve">To identify cultural and systemic barriers specific to Tashkent that hinder the implementation of modern social work practices.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with a control group. The experiment will take place over a period of six months across three selected districts (tumanlar) in Tashkent. The districts will be chosen to represent a mix of socioeconomic statuses, ensuring the data reflects the diverse reality of the city.</w:t>
      </w:r>
    </w:p>
    <w:bookmarkEnd w:id="22"/>
    <w:bookmarkStart w:id="23" w:name="participants"/>
    <w:p>
      <w:pPr>
        <w:pStyle w:val="Heading3"/>
      </w:pPr>
      <w:r>
        <w:t xml:space="preserve">3.2 Participants</w:t>
      </w:r>
    </w:p>
    <w:p>
      <w:pPr>
        <w:pStyle w:val="FirstParagraph"/>
      </w:pPr>
      <w:r>
        <w:rPr>
          <w:bCs/>
          <w:b/>
        </w:rPr>
        <w:t xml:space="preserve">Social Workers:</w:t>
      </w:r>
      <w:r>
        <w:t xml:space="preserve"> </w:t>
      </w:r>
      <w:r>
        <w:t xml:space="preserve">A total of 60 licensed Social Workers currently employed by local mahalla committees or state social protection agencies in Tashkent will participate. They will be randomly assigned to either the Intervention Group (30 participants) or the Control Group (30 participants).</w:t>
      </w:r>
    </w:p>
    <w:p>
      <w:pPr>
        <w:pStyle w:val="BodyText"/>
      </w:pPr>
      <w:r>
        <w:rPr>
          <w:bCs/>
          <w:b/>
        </w:rPr>
        <w:t xml:space="preserve">Clients:</w:t>
      </w:r>
      <w:r>
        <w:t xml:space="preserve"> </w:t>
      </w:r>
      <w:r>
        <w:t xml:space="preserve">Each Social Worker will be paired with a caseload of 10 clients, totaling 600 clients. Eligibility criteria for clients include residency in Tashkent for at least one year and identification as requiring social support services under current Uzbekistan law.</w:t>
      </w:r>
    </w:p>
    <w:bookmarkEnd w:id="23"/>
    <w:bookmarkStart w:id="24" w:name="intervention-protocol"/>
    <w:p>
      <w:pPr>
        <w:pStyle w:val="Heading3"/>
      </w:pPr>
      <w:r>
        <w:t xml:space="preserve">3.3 Intervention Protocol</w:t>
      </w:r>
    </w:p>
    <w:p>
      <w:pPr>
        <w:pStyle w:val="FirstParagraph"/>
      </w:pPr>
      <w:r>
        <w:t xml:space="preserve">The Intervention Group of Social Workers will undergo a specialized training program lasting four weeks. This training will focus on:</w:t>
      </w:r>
    </w:p>
    <w:p>
      <w:pPr>
        <w:numPr>
          <w:ilvl w:val="0"/>
          <w:numId w:val="1002"/>
        </w:numPr>
        <w:pStyle w:val="Compact"/>
      </w:pPr>
      <w:r>
        <w:rPr>
          <w:bCs/>
          <w:b/>
        </w:rPr>
        <w:t xml:space="preserve">Cultural Competence:</w:t>
      </w:r>
      <w:r>
        <w:t xml:space="preserve"> </w:t>
      </w:r>
      <w:r>
        <w:t xml:space="preserve">Understanding the specific social dynamics of Tashkent, including the role of the mahalla (neighborhood community) in social support.</w:t>
      </w:r>
    </w:p>
    <w:p>
      <w:pPr>
        <w:numPr>
          <w:ilvl w:val="0"/>
          <w:numId w:val="1002"/>
        </w:numPr>
        <w:pStyle w:val="Compact"/>
      </w:pPr>
      <w:r>
        <w:rPr>
          <w:bCs/>
          <w:b/>
        </w:rPr>
        <w:t xml:space="preserve">Psychosocial Skills:</w:t>
      </w:r>
      <w:r>
        <w:t xml:space="preserve"> </w:t>
      </w:r>
      <w:r>
        <w:t xml:space="preserve">Techniques for active listening, crisis intervention, and family therapy adapted to the Uzbek cultural context.</w:t>
      </w:r>
    </w:p>
    <w:p>
      <w:pPr>
        <w:numPr>
          <w:ilvl w:val="0"/>
          <w:numId w:val="1002"/>
        </w:numPr>
        <w:pStyle w:val="Compact"/>
      </w:pPr>
      <w:r>
        <w:rPr>
          <w:bCs/>
          <w:b/>
        </w:rPr>
        <w:t xml:space="preserve">Digital Literacy:</w:t>
      </w:r>
      <w:r>
        <w:t xml:space="preserve"> </w:t>
      </w:r>
      <w:r>
        <w:t xml:space="preserve">Training on a new mobile application designed for case tracking, resource mapping, and secure communication with clients.</w:t>
      </w:r>
    </w:p>
    <w:p>
      <w:pPr>
        <w:pStyle w:val="FirstParagraph"/>
      </w:pPr>
      <w:r>
        <w:t xml:space="preserve">The Control Group will continue to operate using the standard protocols and resources currently provided by the state, without additional training or digital tools.</w:t>
      </w:r>
    </w:p>
    <w:bookmarkEnd w:id="24"/>
    <w:bookmarkEnd w:id="25"/>
    <w:bookmarkStart w:id="28" w:name="data-collection-and-metrics"/>
    <w:p>
      <w:pPr>
        <w:pStyle w:val="Heading2"/>
      </w:pPr>
      <w:r>
        <w:t xml:space="preserve">4. Data Collection and Metrics</w:t>
      </w:r>
    </w:p>
    <w:p>
      <w:pPr>
        <w:pStyle w:val="FirstParagraph"/>
      </w:pPr>
      <w:r>
        <w:t xml:space="preserve">Data will be collected at three intervals: baseline (before the experiment), mid-point (three months), and post-intervention (six months).</w:t>
      </w:r>
    </w:p>
    <w:bookmarkStart w:id="26" w:name="quantitative-metrics"/>
    <w:p>
      <w:pPr>
        <w:pStyle w:val="Heading3"/>
      </w:pPr>
      <w:r>
        <w:t xml:space="preserve">4.1 Quantitative Metrics</w:t>
      </w:r>
    </w:p>
    <w:p>
      <w:pPr>
        <w:numPr>
          <w:ilvl w:val="0"/>
          <w:numId w:val="1003"/>
        </w:numPr>
        <w:pStyle w:val="Compact"/>
      </w:pPr>
      <w:r>
        <w:rPr>
          <w:bCs/>
          <w:b/>
        </w:rPr>
        <w:t xml:space="preserve">Case Resolution Rate:</w:t>
      </w:r>
      <w:r>
        <w:t xml:space="preserve"> </w:t>
      </w:r>
      <w:r>
        <w:t xml:space="preserve">The percentage of cases successfully closed or stabilized within the six-month period.</w:t>
      </w:r>
    </w:p>
    <w:p>
      <w:pPr>
        <w:numPr>
          <w:ilvl w:val="0"/>
          <w:numId w:val="1003"/>
        </w:numPr>
        <w:pStyle w:val="Compact"/>
      </w:pPr>
      <w:r>
        <w:rPr>
          <w:bCs/>
          <w:b/>
        </w:rPr>
        <w:t xml:space="preserve">Client Satisfaction Scores:</w:t>
      </w:r>
      <w:r>
        <w:t xml:space="preserve"> </w:t>
      </w:r>
      <w:r>
        <w:t xml:space="preserve">Measured via a standardized Likert-scale survey administered to clients in both groups.</w:t>
      </w:r>
    </w:p>
    <w:p>
      <w:pPr>
        <w:numPr>
          <w:ilvl w:val="0"/>
          <w:numId w:val="1003"/>
        </w:numPr>
        <w:pStyle w:val="Compact"/>
      </w:pPr>
      <w:r>
        <w:rPr>
          <w:bCs/>
          <w:b/>
        </w:rPr>
        <w:t xml:space="preserve">Resource Utilization:</w:t>
      </w:r>
      <w:r>
        <w:t xml:space="preserve"> </w:t>
      </w:r>
      <w:r>
        <w:t xml:space="preserve">Tracking the efficiency of resource allocation (financial aid, referrals) by Social Workers.</w:t>
      </w:r>
    </w:p>
    <w:bookmarkEnd w:id="26"/>
    <w:bookmarkStart w:id="27" w:name="qualitative-metrics"/>
    <w:p>
      <w:pPr>
        <w:pStyle w:val="Heading3"/>
      </w:pPr>
      <w:r>
        <w:t xml:space="preserve">4.2 Qualitative Metrics</w:t>
      </w:r>
    </w:p>
    <w:p>
      <w:pPr>
        <w:numPr>
          <w:ilvl w:val="0"/>
          <w:numId w:val="1004"/>
        </w:numPr>
        <w:pStyle w:val="Compact"/>
      </w:pPr>
      <w:r>
        <w:rPr>
          <w:bCs/>
          <w:b/>
        </w:rPr>
        <w:t xml:space="preserve">Interviews:</w:t>
      </w:r>
      <w:r>
        <w:t xml:space="preserve"> </w:t>
      </w:r>
      <w:r>
        <w:t xml:space="preserve">Semi-structured interviews with a subset of Social Workers to understand their experiences, challenges, and perceptions of the new model.</w:t>
      </w:r>
    </w:p>
    <w:p>
      <w:pPr>
        <w:numPr>
          <w:ilvl w:val="0"/>
          <w:numId w:val="1004"/>
        </w:numPr>
        <w:pStyle w:val="Compact"/>
      </w:pPr>
      <w:r>
        <w:rPr>
          <w:bCs/>
          <w:b/>
        </w:rPr>
        <w:t xml:space="preserve">Case Studies:</w:t>
      </w:r>
      <w:r>
        <w:t xml:space="preserve"> </w:t>
      </w:r>
      <w:r>
        <w:t xml:space="preserve">In-depth analysis of five complex cases from each group to understand the nuances of intervention outcomes.</w:t>
      </w:r>
    </w:p>
    <w:bookmarkEnd w:id="27"/>
    <w:bookmarkEnd w:id="28"/>
    <w:bookmarkStart w:id="29" w:name="ethical-considerations"/>
    <w:p>
      <w:pPr>
        <w:pStyle w:val="Heading2"/>
      </w:pPr>
      <w:r>
        <w:t xml:space="preserve">5. Ethical Considerations</w:t>
      </w:r>
    </w:p>
    <w:p>
      <w:pPr>
        <w:pStyle w:val="FirstParagraph"/>
      </w:pPr>
      <w:r>
        <w:t xml:space="preserve">This Experiment Protocol strictly adheres to the ethical guidelines for social research in Uzbekistan. Informed consent will be obtained from all participating Social Workers and clients. Participants will be informed of their right to withdraw from the study at any time without penalty. Confidentiality will be maintained through anonymized data collection and secure storage of all records. Special attention will be paid to the vulnerability of the client population, ensuring that the Control Group is not deprived of essential services but rather continues to receive the standard of care mandated by the state.</w:t>
      </w:r>
    </w:p>
    <w:bookmarkEnd w:id="29"/>
    <w:bookmarkStart w:id="30" w:name="expected-outcomes-and-impact"/>
    <w:p>
      <w:pPr>
        <w:pStyle w:val="Heading2"/>
      </w:pPr>
      <w:r>
        <w:t xml:space="preserve">6. Expected Outcomes and Impact</w:t>
      </w:r>
    </w:p>
    <w:p>
      <w:pPr>
        <w:pStyle w:val="FirstParagraph"/>
      </w:pPr>
      <w:r>
        <w:t xml:space="preserve">It is hypothesized that the Intervention Group will demonstrate higher client satisfaction scores and more efficient case management compared to the Control Group. Furthermore, the Social Workers in the Intervention Group are expected to report higher levels of professional efficacy and lower levels of burnout.</w:t>
      </w:r>
    </w:p>
    <w:p>
      <w:pPr>
        <w:pStyle w:val="BodyText"/>
      </w:pPr>
      <w:r>
        <w:t xml:space="preserve">The findings of this experiment will provide valuable insights for policymakers in Tashkent and Uzbekistan regarding the future training and support of Social Workers. If successful, the hybrid model could be scaled nationally, contributing to the broader goal of strengthening the social safety net in Uzbekistan.</w:t>
      </w:r>
    </w:p>
    <w:bookmarkEnd w:id="30"/>
    <w:bookmarkStart w:id="31" w:name="conclusion"/>
    <w:p>
      <w:pPr>
        <w:pStyle w:val="Heading2"/>
      </w:pPr>
      <w:r>
        <w:t xml:space="preserve">7. Conclusion</w:t>
      </w:r>
    </w:p>
    <w:p>
      <w:pPr>
        <w:pStyle w:val="FirstParagraph"/>
      </w:pPr>
      <w:r>
        <w:t xml:space="preserve">This Experiment Protocol represents a critical step in modernizing social work practices in Tashkent. By rigorously testing new interventions within the specific cultural and administrative context of Uzbekistan, we aim to enhance the quality of life for vulnerable citizens and empower the Social Workers who serve them. The success of this protocol depends on the collaboration between researchers, government agencies, and the community of Tashkent.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Tashkent, Uzbekistan</dc:title>
  <dc:creator/>
  <dc:language>en</dc:language>
  <cp:keywords/>
  <dcterms:created xsi:type="dcterms:W3CDTF">2026-10-10T03:38:59Z</dcterms:created>
  <dcterms:modified xsi:type="dcterms:W3CDTF">2026-10-10T03:38:59Z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