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403f95dfae4932bd8c1a942ef460ef35635eff"/>
    <w:p>
      <w:pPr>
        <w:pStyle w:val="Heading1"/>
      </w:pPr>
      <w:r>
        <w:t xml:space="preserve">Experiment Protocol: Software Engineer Performance in Malaysia Kuala Lumpur</w:t>
      </w:r>
    </w:p>
    <w:p>
      <w:pPr>
        <w:pStyle w:val="FirstParagraph"/>
      </w:pPr>
      <w:r>
        <w:rPr>
          <w:bCs/>
          <w:b/>
        </w:rPr>
        <w:t xml:space="preserve">Document ID:</w:t>
      </w:r>
      <w:r>
        <w:t xml:space="preserve"> </w:t>
      </w:r>
      <w:r>
        <w:t xml:space="preserve">EXP-SE-KL-2024-001</w:t>
      </w:r>
    </w:p>
    <w:p>
      <w:pPr>
        <w:pStyle w:val="BodyText"/>
      </w:pPr>
      <w:r>
        <w:rPr>
          <w:bCs/>
          <w:b/>
        </w:rPr>
        <w:t xml:space="preserve">Location:</w:t>
      </w:r>
      <w:r>
        <w:t xml:space="preserve"> </w:t>
      </w:r>
      <w:r>
        <w:t xml:space="preserve">Malaysia Kuala Lumpur</w:t>
      </w:r>
    </w:p>
    <w:p>
      <w:pPr>
        <w:pStyle w:val="BodyText"/>
      </w:pPr>
      <w:r>
        <w:rPr>
          <w:bCs/>
          <w:b/>
        </w:rPr>
        <w:t xml:space="preserve">Subject:</w:t>
      </w:r>
      <w:r>
        <w:t xml:space="preserve"> </w:t>
      </w:r>
      <w:r>
        <w:t xml:space="preserve">Software Engineer</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Experiment Protocol outlines the methodology for assessing the performance, adaptability, and technical proficiency of a Software Engineer within the dynamic technological ecosystem of Malaysia Kuala Lumpur. The rapid growth of the digital economy in Malaysia Kuala Lumpur necessitates rigorous evaluation frameworks to ensure that Software Engineers can meet the demands of local and international stakeholders. This protocol aims to provide a structured approach to evaluating key competencies, including coding efficiency, problem-solving skills, collaboration, and cultural adaptability.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of a Software Engineer in real-world scenarios relevant to Malaysia Kuala Lumpur.</w:t>
      </w:r>
    </w:p>
    <w:p>
      <w:pPr>
        <w:numPr>
          <w:ilvl w:val="0"/>
          <w:numId w:val="1001"/>
        </w:numPr>
        <w:pStyle w:val="Compact"/>
      </w:pPr>
      <w:r>
        <w:t xml:space="preserve">To assess the ability of the Software Engineer to collaborate effectively within multicultural teams.</w:t>
      </w:r>
    </w:p>
    <w:p>
      <w:pPr>
        <w:numPr>
          <w:ilvl w:val="0"/>
          <w:numId w:val="1001"/>
        </w:numPr>
        <w:pStyle w:val="Compact"/>
      </w:pPr>
      <w:r>
        <w:t xml:space="preserve">To measure the adaptability of the Software Engineer to local regulatory and business environments in Malaysia Kuala Lumpur.</w:t>
      </w:r>
    </w:p>
    <w:p>
      <w:pPr>
        <w:numPr>
          <w:ilvl w:val="0"/>
          <w:numId w:val="1001"/>
        </w:numPr>
        <w:pStyle w:val="Compact"/>
      </w:pPr>
      <w:r>
        <w:t xml:space="preserve">To identify areas for improvement in the Software Engineer's professional development.</w:t>
      </w:r>
    </w:p>
    <w:bookmarkEnd w:id="22"/>
    <w:bookmarkStart w:id="23" w:name="scope"/>
    <w:p>
      <w:pPr>
        <w:pStyle w:val="Heading2"/>
      </w:pPr>
      <w:r>
        <w:t xml:space="preserve">3. Scope</w:t>
      </w:r>
    </w:p>
    <w:p>
      <w:pPr>
        <w:pStyle w:val="FirstParagraph"/>
      </w:pPr>
      <w:r>
        <w:t xml:space="preserve">This Experiment Protocol applies to all Software Engineers participating in the assessment program within Malaysia Kuala Lumpur. The scope includes:</w:t>
      </w:r>
    </w:p>
    <w:p>
      <w:pPr>
        <w:numPr>
          <w:ilvl w:val="0"/>
          <w:numId w:val="1002"/>
        </w:numPr>
        <w:pStyle w:val="Compact"/>
      </w:pPr>
      <w:r>
        <w:t xml:space="preserve">Technical assessments involving coding challenges and system design tasks.</w:t>
      </w:r>
    </w:p>
    <w:p>
      <w:pPr>
        <w:numPr>
          <w:ilvl w:val="0"/>
          <w:numId w:val="1002"/>
        </w:numPr>
        <w:pStyle w:val="Compact"/>
      </w:pPr>
      <w:r>
        <w:t xml:space="preserve">Behavioral assessments focusing on teamwork, communication, and problem-solving.</w:t>
      </w:r>
    </w:p>
    <w:p>
      <w:pPr>
        <w:numPr>
          <w:ilvl w:val="0"/>
          <w:numId w:val="1002"/>
        </w:numPr>
        <w:pStyle w:val="Compact"/>
      </w:pPr>
      <w:r>
        <w:t xml:space="preserve">Contextual assessments related to the specific needs of the Malaysia Kuala Lumpur market.</w:t>
      </w:r>
    </w:p>
    <w:bookmarkEnd w:id="23"/>
    <w:bookmarkStart w:id="27" w:name="methodology"/>
    <w:p>
      <w:pPr>
        <w:pStyle w:val="Heading2"/>
      </w:pPr>
      <w:r>
        <w:t xml:space="preserve">4. Methodology</w:t>
      </w:r>
    </w:p>
    <w:p>
      <w:pPr>
        <w:pStyle w:val="FirstParagraph"/>
      </w:pPr>
      <w:r>
        <w:t xml:space="preserve">The experiment will be conducted in three phases:</w:t>
      </w:r>
    </w:p>
    <w:bookmarkStart w:id="24" w:name="phase-1-technical-assessment"/>
    <w:p>
      <w:pPr>
        <w:pStyle w:val="Heading3"/>
      </w:pPr>
      <w:r>
        <w:t xml:space="preserve">4.1 Phase 1: Technical Assessment</w:t>
      </w:r>
    </w:p>
    <w:p>
      <w:pPr>
        <w:pStyle w:val="FirstParagraph"/>
      </w:pPr>
      <w:r>
        <w:t xml:space="preserve">Participants will complete a series of coding challenges and system design tasks. These tasks will simulate real-world scenarios encountered by Software Engineers in Malaysia Kuala Lumpur, such as developing scalable web applications, optimizing database queries, and implementing secure APIs.</w:t>
      </w:r>
    </w:p>
    <w:bookmarkEnd w:id="24"/>
    <w:bookmarkStart w:id="25" w:name="phase-2-behavioral-assessment"/>
    <w:p>
      <w:pPr>
        <w:pStyle w:val="Heading3"/>
      </w:pPr>
      <w:r>
        <w:t xml:space="preserve">4.2 Phase 2: Behavioral Assessment</w:t>
      </w:r>
    </w:p>
    <w:p>
      <w:pPr>
        <w:pStyle w:val="FirstParagraph"/>
      </w:pPr>
      <w:r>
        <w:t xml:space="preserve">Participants will engage in group activities and interviews to assess their communication skills, teamwork, and problem-solving abilities. Special emphasis will be placed on their ability to work in multicultural environments, which is crucial in Malaysia Kuala Lumpur.</w:t>
      </w:r>
    </w:p>
    <w:bookmarkEnd w:id="25"/>
    <w:bookmarkStart w:id="26" w:name="phase-3-contextual-assessment"/>
    <w:p>
      <w:pPr>
        <w:pStyle w:val="Heading3"/>
      </w:pPr>
      <w:r>
        <w:t xml:space="preserve">4.3 Phase 3: Contextual Assessment</w:t>
      </w:r>
    </w:p>
    <w:p>
      <w:pPr>
        <w:pStyle w:val="FirstParagraph"/>
      </w:pPr>
      <w:r>
        <w:t xml:space="preserve">Participants will be evaluated on their understanding of local regulations, business practices, and cultural nuances in Malaysia Kuala Lumpur. This phase will include case studies and scenario-based questions.</w:t>
      </w:r>
    </w:p>
    <w:bookmarkEnd w:id="26"/>
    <w:bookmarkEnd w:id="27"/>
    <w:bookmarkStart w:id="28" w:name="participants"/>
    <w:p>
      <w:pPr>
        <w:pStyle w:val="Heading2"/>
      </w:pPr>
      <w:r>
        <w:t xml:space="preserve">5. Participants</w:t>
      </w:r>
    </w:p>
    <w:p>
      <w:pPr>
        <w:pStyle w:val="FirstParagraph"/>
      </w:pPr>
      <w:r>
        <w:t xml:space="preserve">The participants in this experiment will be Software Engineers with varying levels of experience, ranging from junior to senior roles. All participants must:</w:t>
      </w:r>
    </w:p>
    <w:p>
      <w:pPr>
        <w:numPr>
          <w:ilvl w:val="0"/>
          <w:numId w:val="1003"/>
        </w:numPr>
        <w:pStyle w:val="Compact"/>
      </w:pPr>
      <w:r>
        <w:t xml:space="preserve">Have a minimum of one year of professional experience as a Software Engineer.</w:t>
      </w:r>
    </w:p>
    <w:p>
      <w:pPr>
        <w:numPr>
          <w:ilvl w:val="0"/>
          <w:numId w:val="1003"/>
        </w:numPr>
        <w:pStyle w:val="Compact"/>
      </w:pPr>
      <w:r>
        <w:t xml:space="preserve">Be currently residing or willing to relocate to Malaysia Kuala Lumpur.</w:t>
      </w:r>
    </w:p>
    <w:p>
      <w:pPr>
        <w:numPr>
          <w:ilvl w:val="0"/>
          <w:numId w:val="1003"/>
        </w:numPr>
        <w:pStyle w:val="Compact"/>
      </w:pPr>
      <w:r>
        <w:t xml:space="preserve">Agree to adhere to the guidelines and requirements outlined in this Experiment Protocol.</w:t>
      </w:r>
    </w:p>
    <w:bookmarkEnd w:id="28"/>
    <w:bookmarkStart w:id="29" w:name="data-collection"/>
    <w:p>
      <w:pPr>
        <w:pStyle w:val="Heading2"/>
      </w:pPr>
      <w:r>
        <w:t xml:space="preserve">6. Data Collection</w:t>
      </w:r>
    </w:p>
    <w:p>
      <w:pPr>
        <w:pStyle w:val="FirstParagraph"/>
      </w:pPr>
      <w:r>
        <w:t xml:space="preserve">Data will be collected through the following methods:</w:t>
      </w:r>
    </w:p>
    <w:p>
      <w:pPr>
        <w:numPr>
          <w:ilvl w:val="0"/>
          <w:numId w:val="1004"/>
        </w:numPr>
        <w:pStyle w:val="Compact"/>
      </w:pPr>
      <w:r>
        <w:t xml:space="preserve">Automated scoring of coding challenges and system design tasks.</w:t>
      </w:r>
    </w:p>
    <w:p>
      <w:pPr>
        <w:numPr>
          <w:ilvl w:val="0"/>
          <w:numId w:val="1004"/>
        </w:numPr>
        <w:pStyle w:val="Compact"/>
      </w:pPr>
      <w:r>
        <w:t xml:space="preserve">Observer notes and ratings during group activities and interviews.</w:t>
      </w:r>
    </w:p>
    <w:p>
      <w:pPr>
        <w:numPr>
          <w:ilvl w:val="0"/>
          <w:numId w:val="1004"/>
        </w:numPr>
        <w:pStyle w:val="Compact"/>
      </w:pPr>
      <w:r>
        <w:t xml:space="preserve">Self-assessment surveys completed by participants.</w:t>
      </w:r>
    </w:p>
    <w:p>
      <w:pPr>
        <w:numPr>
          <w:ilvl w:val="0"/>
          <w:numId w:val="1004"/>
        </w:numPr>
        <w:pStyle w:val="Compact"/>
      </w:pPr>
      <w:r>
        <w:t xml:space="preserve">Feedback from peers and supervisors.</w:t>
      </w:r>
    </w:p>
    <w:bookmarkEnd w:id="29"/>
    <w:bookmarkStart w:id="30" w:name="analysis"/>
    <w:p>
      <w:pPr>
        <w:pStyle w:val="Heading2"/>
      </w:pPr>
      <w:r>
        <w:t xml:space="preserve">7. Analysis</w:t>
      </w:r>
    </w:p>
    <w:p>
      <w:pPr>
        <w:pStyle w:val="FirstParagraph"/>
      </w:pPr>
      <w:r>
        <w:t xml:space="preserve">The collected data will be analyzed using both quantitative and qualitative methods. Quantitative data will be used to calculate performance scores, while qualitative data will provide insights into the participants' strengths and areas for improvement. The analysis will focus on:</w:t>
      </w:r>
    </w:p>
    <w:p>
      <w:pPr>
        <w:numPr>
          <w:ilvl w:val="0"/>
          <w:numId w:val="1005"/>
        </w:numPr>
        <w:pStyle w:val="Compact"/>
      </w:pPr>
      <w:r>
        <w:t xml:space="preserve">Technical proficiency and coding efficiency.</w:t>
      </w:r>
    </w:p>
    <w:p>
      <w:pPr>
        <w:numPr>
          <w:ilvl w:val="0"/>
          <w:numId w:val="1005"/>
        </w:numPr>
        <w:pStyle w:val="Compact"/>
      </w:pPr>
      <w:r>
        <w:t xml:space="preserve">Collaboration and communication skills.</w:t>
      </w:r>
    </w:p>
    <w:p>
      <w:pPr>
        <w:numPr>
          <w:ilvl w:val="0"/>
          <w:numId w:val="1005"/>
        </w:numPr>
        <w:pStyle w:val="Compact"/>
      </w:pPr>
      <w:r>
        <w:t xml:space="preserve">Adaptability to the Malaysia Kuala Lumpur environment.</w:t>
      </w:r>
    </w:p>
    <w:bookmarkEnd w:id="30"/>
    <w:bookmarkStart w:id="31" w:name="ethical-considerations"/>
    <w:p>
      <w:pPr>
        <w:pStyle w:val="Heading2"/>
      </w:pPr>
      <w:r>
        <w:t xml:space="preserve">8. Ethical Considerations</w:t>
      </w:r>
    </w:p>
    <w:p>
      <w:pPr>
        <w:pStyle w:val="FirstParagraph"/>
      </w:pPr>
      <w:r>
        <w:t xml:space="preserve">This Experiment Protocol adheres to ethical guidelines to ensure the fairness and integrity of the assessment process. Key considerations include:</w:t>
      </w:r>
    </w:p>
    <w:p>
      <w:pPr>
        <w:numPr>
          <w:ilvl w:val="0"/>
          <w:numId w:val="1006"/>
        </w:numPr>
        <w:pStyle w:val="Compact"/>
      </w:pPr>
      <w:r>
        <w:t xml:space="preserve">Confidentiality of participant data.</w:t>
      </w:r>
    </w:p>
    <w:p>
      <w:pPr>
        <w:numPr>
          <w:ilvl w:val="0"/>
          <w:numId w:val="1006"/>
        </w:numPr>
        <w:pStyle w:val="Compact"/>
      </w:pPr>
      <w:r>
        <w:t xml:space="preserve">Equal opportunity for all participants.</w:t>
      </w:r>
    </w:p>
    <w:p>
      <w:pPr>
        <w:numPr>
          <w:ilvl w:val="0"/>
          <w:numId w:val="1006"/>
        </w:numPr>
        <w:pStyle w:val="Compact"/>
      </w:pPr>
      <w:r>
        <w:t xml:space="preserve">Transparency in the assessment criteria and procedures.</w:t>
      </w:r>
    </w:p>
    <w:bookmarkEnd w:id="31"/>
    <w:bookmarkStart w:id="32" w:name="timeline"/>
    <w:p>
      <w:pPr>
        <w:pStyle w:val="Heading2"/>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Phase 1: Technical Assessment</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Phase 2: Behavioral Assessment</w:t>
            </w:r>
          </w:p>
        </w:tc>
        <w:tc>
          <w:tcPr/>
          <w:p>
            <w:pPr>
              <w:pStyle w:val="Compact"/>
              <w:jc w:val="left"/>
            </w:pPr>
            <w:r>
              <w:t xml:space="preserve">2 weeks</w:t>
            </w:r>
          </w:p>
        </w:tc>
        <w:tc>
          <w:tcPr/>
          <w:p>
            <w:pPr>
              <w:pStyle w:val="Compact"/>
              <w:jc w:val="left"/>
            </w:pPr>
            <w:r>
              <w:t xml:space="preserve">November 15, 2023</w:t>
            </w:r>
          </w:p>
        </w:tc>
        <w:tc>
          <w:tcPr/>
          <w:p>
            <w:pPr>
              <w:pStyle w:val="Compact"/>
              <w:jc w:val="left"/>
            </w:pPr>
            <w:r>
              <w:t xml:space="preserve">November 28, 2023</w:t>
            </w:r>
          </w:p>
        </w:tc>
      </w:tr>
      <w:tr>
        <w:tc>
          <w:tcPr/>
          <w:p>
            <w:pPr>
              <w:pStyle w:val="Compact"/>
              <w:jc w:val="left"/>
            </w:pPr>
            <w:r>
              <w:t xml:space="preserve">Phase 3: Contextual Assessment</w:t>
            </w:r>
          </w:p>
        </w:tc>
        <w:tc>
          <w:tcPr/>
          <w:p>
            <w:pPr>
              <w:pStyle w:val="Compact"/>
              <w:jc w:val="left"/>
            </w:pPr>
            <w:r>
              <w:t xml:space="preserve">1 week</w:t>
            </w:r>
          </w:p>
        </w:tc>
        <w:tc>
          <w:tcPr/>
          <w:p>
            <w:pPr>
              <w:pStyle w:val="Compact"/>
              <w:jc w:val="left"/>
            </w:pPr>
            <w:r>
              <w:t xml:space="preserve">November 29, 2023</w:t>
            </w:r>
          </w:p>
        </w:tc>
        <w:tc>
          <w:tcPr/>
          <w:p>
            <w:pPr>
              <w:pStyle w:val="Compact"/>
              <w:jc w:val="left"/>
            </w:pPr>
            <w:r>
              <w:t xml:space="preserve">December 5, 2023</w:t>
            </w:r>
          </w:p>
        </w:tc>
      </w:tr>
      <w:tr>
        <w:tc>
          <w:tcPr/>
          <w:p>
            <w:pPr>
              <w:pStyle w:val="Compact"/>
              <w:jc w:val="left"/>
            </w:pPr>
            <w:r>
              <w:t xml:space="preserve">Data Analysis and Reporting</w:t>
            </w:r>
          </w:p>
        </w:tc>
        <w:tc>
          <w:tcPr/>
          <w:p>
            <w:pPr>
              <w:pStyle w:val="Compact"/>
              <w:jc w:val="left"/>
            </w:pPr>
            <w:r>
              <w:t xml:space="preserve">2 weeks</w:t>
            </w:r>
          </w:p>
        </w:tc>
        <w:tc>
          <w:tcPr/>
          <w:p>
            <w:pPr>
              <w:pStyle w:val="Compact"/>
              <w:jc w:val="left"/>
            </w:pPr>
            <w:r>
              <w:t xml:space="preserve">December 6, 2023</w:t>
            </w:r>
          </w:p>
        </w:tc>
        <w:tc>
          <w:tcPr/>
          <w:p>
            <w:pPr>
              <w:pStyle w:val="Compact"/>
              <w:jc w:val="left"/>
            </w:pPr>
            <w:r>
              <w:t xml:space="preserve">December 19, 2023</w:t>
            </w:r>
          </w:p>
        </w:tc>
      </w:tr>
    </w:tbl>
    <w:bookmarkEnd w:id="32"/>
    <w:bookmarkStart w:id="33" w:name="conclusion"/>
    <w:p>
      <w:pPr>
        <w:pStyle w:val="Heading2"/>
      </w:pPr>
      <w:r>
        <w:t xml:space="preserve">10. Conclusion</w:t>
      </w:r>
    </w:p>
    <w:p>
      <w:pPr>
        <w:pStyle w:val="FirstParagraph"/>
      </w:pPr>
      <w:r>
        <w:t xml:space="preserve">This Experiment Protocol provides a comprehensive framework for evaluating the performance of Software Engineers in Malaysia Kuala Lumpur. By focusing on technical skills, behavioral competencies, and contextual adaptability, this protocol aims to ensure that Software Engineers are well-prepared to contribute to the technological advancement of Malaysia Kuala Lumpur. The findings from this experiment will inform future training and development initiatives, ultimately enhancing the quality of software engineering practices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Malaysia Kuala Lumpur</dc:title>
  <dc:creator/>
  <dc:language>en</dc:language>
  <cp:keywords/>
  <dcterms:created xsi:type="dcterms:W3CDTF">2026-10-10T05:39:41Z</dcterms:created>
  <dcterms:modified xsi:type="dcterms:W3CDTF">2026-10-10T05:39:41Z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