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Miami</w:t>
      </w:r>
    </w:p>
    <w:bookmarkStart w:id="33" w:name="X35569380ec15dea30d8b969d6ba77b520261011"/>
    <w:p>
      <w:pPr>
        <w:pStyle w:val="Heading1"/>
      </w:pPr>
      <w:r>
        <w:t xml:space="preserve">Experiment Protocol: Evaluating Software Engineer Productivity and Adaptability in United States Miami</w:t>
      </w:r>
    </w:p>
    <w:p>
      <w:pPr>
        <w:pStyle w:val="FirstParagraph"/>
      </w:pPr>
      <w:r>
        <w:rPr>
          <w:bCs/>
          <w:b/>
        </w:rPr>
        <w:t xml:space="preserve">Protocol ID:</w:t>
      </w:r>
      <w:r>
        <w:t xml:space="preserve"> </w:t>
      </w:r>
      <w:r>
        <w:t xml:space="preserve">SE-MIA-2024-001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United States Miami, Florida</w:t>
      </w:r>
    </w:p>
    <w:p>
      <w:pPr>
        <w:pStyle w:val="BodyText"/>
      </w:pPr>
      <w:r>
        <w:rPr>
          <w:bCs/>
          <w:b/>
        </w:rPr>
        <w:t xml:space="preserve">Prepared By:</w:t>
      </w:r>
      <w:r>
        <w:t xml:space="preserve"> </w:t>
      </w:r>
      <w:r>
        <w:t xml:space="preserve">Technical Research Division</w:t>
      </w:r>
    </w:p>
    <w:bookmarkStart w:id="20" w:name="introduction-and-background"/>
    <w:p>
      <w:pPr>
        <w:pStyle w:val="Heading2"/>
      </w:pPr>
      <w:r>
        <w:t xml:space="preserve">1. Introduction and Background</w:t>
      </w:r>
    </w:p>
    <w:p>
      <w:pPr>
        <w:pStyle w:val="FirstParagraph"/>
      </w:pPr>
      <w:r>
        <w:t xml:space="preserve">The rapid expansion of the technology sector in</w:t>
      </w:r>
      <w:r>
        <w:t xml:space="preserve"> </w:t>
      </w:r>
      <w:r>
        <w:rPr>
          <w:bCs/>
          <w:b/>
        </w:rPr>
        <w:t xml:space="preserve">United States Miami</w:t>
      </w:r>
      <w:r>
        <w:t xml:space="preserve"> </w:t>
      </w:r>
      <w:r>
        <w:t xml:space="preserve">has positioned the city as a burgeoning hub for innovation, particularly in fintech, blockchain, and digital media. As organizations increasingly recruit</w:t>
      </w:r>
      <w:r>
        <w:t xml:space="preserve"> </w:t>
      </w:r>
      <w:r>
        <w:rPr>
          <w:bCs/>
          <w:b/>
        </w:rPr>
        <w:t xml:space="preserve">Software Engineer</w:t>
      </w:r>
      <w:r>
        <w:t xml:space="preserve"> </w:t>
      </w:r>
      <w:r>
        <w:t xml:space="preserve">talent to this region, there is a critical need to understand how local environmental factors, cultural dynamics, and infrastructure influence professional performance. This</w:t>
      </w:r>
      <w:r>
        <w:t xml:space="preserve"> </w:t>
      </w:r>
      <w:r>
        <w:rPr>
          <w:bCs/>
          <w:b/>
        </w:rPr>
        <w:t xml:space="preserve">Experiment Protocol</w:t>
      </w:r>
      <w:r>
        <w:t xml:space="preserve"> </w:t>
      </w:r>
      <w:r>
        <w:t xml:space="preserve">outlines a structured methodology to assess the productivity, collaboration efficiency, and technical output of software engineering teams operating within the Miami metropolitan area.</w:t>
      </w:r>
    </w:p>
    <w:p>
      <w:pPr>
        <w:pStyle w:val="BodyText"/>
      </w:pPr>
      <w:r>
        <w:t xml:space="preserve">The primary objective is to determine whether the unique characteristics of Miami—such as its time zone, bilingual workforce, and hybrid work culture—provide measurable advantages or challenges compared to traditional tech hubs. This study aims to provide data-driven insights for hiring managers, urban planners, and tech companies establishing operations in the region.</w:t>
      </w:r>
    </w:p>
    <w:bookmarkEnd w:id="20"/>
    <w:bookmarkStart w:id="21" w:name="objectives"/>
    <w:p>
      <w:pPr>
        <w:pStyle w:val="Heading2"/>
      </w:pPr>
      <w:r>
        <w:t xml:space="preserve">2. Objectives</w:t>
      </w:r>
    </w:p>
    <w:p>
      <w:pPr>
        <w:numPr>
          <w:ilvl w:val="0"/>
          <w:numId w:val="1001"/>
        </w:numPr>
        <w:pStyle w:val="Compact"/>
      </w:pPr>
      <w:r>
        <w:t xml:space="preserve">To quantify the daily code output and quality metrics of</w:t>
      </w:r>
      <w:r>
        <w:t xml:space="preserve"> </w:t>
      </w:r>
      <w:r>
        <w:rPr>
          <w:bCs/>
          <w:b/>
        </w:rPr>
        <w:t xml:space="preserve">Software Engineer</w:t>
      </w:r>
      <w:r>
        <w:t xml:space="preserve"> </w:t>
      </w:r>
      <w:r>
        <w:t xml:space="preserve">participants in Miami.</w:t>
      </w:r>
    </w:p>
    <w:p>
      <w:pPr>
        <w:numPr>
          <w:ilvl w:val="0"/>
          <w:numId w:val="1001"/>
        </w:numPr>
        <w:pStyle w:val="Compact"/>
      </w:pPr>
      <w:r>
        <w:t xml:space="preserve">To evaluate the impact of Miami’s hybrid work policies on team collaboration and project velocity.</w:t>
      </w:r>
    </w:p>
    <w:p>
      <w:pPr>
        <w:numPr>
          <w:ilvl w:val="0"/>
          <w:numId w:val="1001"/>
        </w:numPr>
        <w:pStyle w:val="Compact"/>
      </w:pPr>
      <w:r>
        <w:t xml:space="preserve">To analyze the correlation between local infrastructure (internet reliability, office spaces) and engineering efficiency.</w:t>
      </w:r>
    </w:p>
    <w:p>
      <w:pPr>
        <w:numPr>
          <w:ilvl w:val="0"/>
          <w:numId w:val="1001"/>
        </w:numPr>
        <w:pStyle w:val="Compact"/>
      </w:pPr>
      <w:r>
        <w:t xml:space="preserve">To assess the role of cultural diversity and bilingualism in cross-functional team dynamics within the</w:t>
      </w:r>
      <w:r>
        <w:t xml:space="preserve"> </w:t>
      </w:r>
      <w:r>
        <w:rPr>
          <w:bCs/>
          <w:b/>
        </w:rPr>
        <w:t xml:space="preserve">United States Miami</w:t>
      </w:r>
      <w:r>
        <w:t xml:space="preserve"> </w:t>
      </w:r>
      <w:r>
        <w:t xml:space="preserve">tech ecosystem.</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employs a mixed-methods approach, combining quantitative performance metrics with qualitative surveys. The study will run for a period of 12 weeks, divided into three phases: baseline assessment, intervention, and post-intervention analysis.</w:t>
      </w:r>
    </w:p>
    <w:bookmarkEnd w:id="22"/>
    <w:bookmarkStart w:id="23" w:name="participants"/>
    <w:p>
      <w:pPr>
        <w:pStyle w:val="Heading3"/>
      </w:pPr>
      <w:r>
        <w:t xml:space="preserve">3.2 Participants</w:t>
      </w:r>
    </w:p>
    <w:p>
      <w:pPr>
        <w:pStyle w:val="FirstParagraph"/>
      </w:pPr>
      <w:r>
        <w:t xml:space="preserve">The study will recruit 60</w:t>
      </w:r>
      <w:r>
        <w:t xml:space="preserve"> </w:t>
      </w:r>
      <w:r>
        <w:rPr>
          <w:bCs/>
          <w:b/>
        </w:rPr>
        <w:t xml:space="preserve">Software Engineer</w:t>
      </w:r>
      <w:r>
        <w:t xml:space="preserve"> </w:t>
      </w:r>
      <w:r>
        <w:t xml:space="preserve">professionals currently employed in</w:t>
      </w:r>
      <w:r>
        <w:t xml:space="preserve"> </w:t>
      </w:r>
      <w:r>
        <w:rPr>
          <w:bCs/>
          <w:b/>
        </w:rPr>
        <w:t xml:space="preserve">United States Miami</w:t>
      </w:r>
      <w:r>
        <w:t xml:space="preserve">. Participants will be selected based on the following criteria:</w:t>
      </w:r>
    </w:p>
    <w:p>
      <w:pPr>
        <w:numPr>
          <w:ilvl w:val="0"/>
          <w:numId w:val="1002"/>
        </w:numPr>
        <w:pStyle w:val="Compact"/>
      </w:pPr>
      <w:r>
        <w:t xml:space="preserve">Minimum of 3 years of professional experience in software development.</w:t>
      </w:r>
    </w:p>
    <w:p>
      <w:pPr>
        <w:numPr>
          <w:ilvl w:val="0"/>
          <w:numId w:val="1002"/>
        </w:numPr>
        <w:pStyle w:val="Compact"/>
      </w:pPr>
      <w:r>
        <w:t xml:space="preserve">Currently residing and working within Miami-Dade County.</w:t>
      </w:r>
    </w:p>
    <w:p>
      <w:pPr>
        <w:numPr>
          <w:ilvl w:val="0"/>
          <w:numId w:val="1002"/>
        </w:numPr>
        <w:pStyle w:val="Compact"/>
      </w:pPr>
      <w:r>
        <w:t xml:space="preserve">Employed in companies with at least 50 employees to ensure organizational stability.</w:t>
      </w:r>
    </w:p>
    <w:p>
      <w:pPr>
        <w:numPr>
          <w:ilvl w:val="0"/>
          <w:numId w:val="1002"/>
        </w:numPr>
        <w:pStyle w:val="Compact"/>
      </w:pPr>
      <w:r>
        <w:t xml:space="preserve">Willingness to share anonymized performance data and participate in weekly surveys.</w:t>
      </w:r>
    </w:p>
    <w:bookmarkEnd w:id="23"/>
    <w:bookmarkStart w:id="24" w:name="data-collection-instruments"/>
    <w:p>
      <w:pPr>
        <w:pStyle w:val="Heading3"/>
      </w:pPr>
      <w:r>
        <w:t xml:space="preserve">3.3 Data Collection Instruments</w:t>
      </w:r>
    </w:p>
    <w:p>
      <w:pPr>
        <w:pStyle w:val="FirstParagraph"/>
      </w:pPr>
      <w:r>
        <w:t xml:space="preserve">Data will be collected using the following tools:</w:t>
      </w:r>
    </w:p>
    <w:p>
      <w:pPr>
        <w:numPr>
          <w:ilvl w:val="0"/>
          <w:numId w:val="1003"/>
        </w:numPr>
        <w:pStyle w:val="Compact"/>
      </w:pPr>
      <w:r>
        <w:rPr>
          <w:bCs/>
          <w:b/>
        </w:rPr>
        <w:t xml:space="preserve">Version Control Analytics:</w:t>
      </w:r>
      <w:r>
        <w:t xml:space="preserve"> </w:t>
      </w:r>
      <w:r>
        <w:t xml:space="preserve">Automated tracking of commits, pull requests, and code review times via GitHub/GitLab APIs.</w:t>
      </w:r>
    </w:p>
    <w:p>
      <w:pPr>
        <w:numPr>
          <w:ilvl w:val="0"/>
          <w:numId w:val="1003"/>
        </w:numPr>
        <w:pStyle w:val="Compact"/>
      </w:pPr>
      <w:r>
        <w:rPr>
          <w:bCs/>
          <w:b/>
        </w:rPr>
        <w:t xml:space="preserve">Productivity Software:</w:t>
      </w:r>
      <w:r>
        <w:t xml:space="preserve"> </w:t>
      </w:r>
      <w:r>
        <w:t xml:space="preserve">Integration with Jira or Asana to measure task completion rates and sprint velocity.</w:t>
      </w:r>
    </w:p>
    <w:p>
      <w:pPr>
        <w:numPr>
          <w:ilvl w:val="0"/>
          <w:numId w:val="1003"/>
        </w:numPr>
        <w:pStyle w:val="Compact"/>
      </w:pPr>
      <w:r>
        <w:rPr>
          <w:bCs/>
          <w:b/>
        </w:rPr>
        <w:t xml:space="preserve">Surveys:</w:t>
      </w:r>
      <w:r>
        <w:t xml:space="preserve"> </w:t>
      </w:r>
      <w:r>
        <w:t xml:space="preserve">Weekly questionnaires assessing job satisfaction, work-life balance, and perceived barriers to productivity.</w:t>
      </w:r>
    </w:p>
    <w:p>
      <w:pPr>
        <w:numPr>
          <w:ilvl w:val="0"/>
          <w:numId w:val="1003"/>
        </w:numPr>
        <w:pStyle w:val="Compact"/>
      </w:pPr>
      <w:r>
        <w:rPr>
          <w:bCs/>
          <w:b/>
        </w:rPr>
        <w:t xml:space="preserve">Focus Groups:</w:t>
      </w:r>
      <w:r>
        <w:t xml:space="preserve"> </w:t>
      </w:r>
      <w:r>
        <w:t xml:space="preserve">Bi-weekly sessions to discuss challenges specific to working in Miami’s tech environment.</w:t>
      </w:r>
    </w:p>
    <w:bookmarkEnd w:id="24"/>
    <w:bookmarkEnd w:id="25"/>
    <w:bookmarkStart w:id="29" w:name="experimental-procedure"/>
    <w:p>
      <w:pPr>
        <w:pStyle w:val="Heading2"/>
      </w:pPr>
      <w:r>
        <w:t xml:space="preserve">4. Experimental Procedure</w:t>
      </w:r>
    </w:p>
    <w:bookmarkStart w:id="26" w:name="phase-1-baseline-assessment-weeks-1-4"/>
    <w:p>
      <w:pPr>
        <w:pStyle w:val="Heading3"/>
      </w:pPr>
      <w:r>
        <w:t xml:space="preserve">Phase 1: Baseline Assessment (Weeks 1-4)</w:t>
      </w:r>
    </w:p>
    <w:p>
      <w:pPr>
        <w:pStyle w:val="FirstParagraph"/>
      </w:pPr>
      <w:r>
        <w:t xml:space="preserve">During this phase, participants will continue their normal work routines. Data on code output, task completion, and collaboration patterns will be collected to establish a baseline. Surveys will focus on current working conditions and personal perceptions of Miami’s tech infrastructure.</w:t>
      </w:r>
    </w:p>
    <w:bookmarkEnd w:id="26"/>
    <w:bookmarkStart w:id="27" w:name="phase-2-intervention-weeks-5-8"/>
    <w:p>
      <w:pPr>
        <w:pStyle w:val="Heading3"/>
      </w:pPr>
      <w:r>
        <w:t xml:space="preserve">Phase 2: Intervention (Weeks 5-8)</w:t>
      </w:r>
    </w:p>
    <w:p>
      <w:pPr>
        <w:pStyle w:val="FirstParagraph"/>
      </w:pPr>
      <w:r>
        <w:t xml:space="preserve">Participants will be divided into two groups:</w:t>
      </w:r>
    </w:p>
    <w:p>
      <w:pPr>
        <w:numPr>
          <w:ilvl w:val="0"/>
          <w:numId w:val="1004"/>
        </w:numPr>
        <w:pStyle w:val="Compact"/>
      </w:pPr>
      <w:r>
        <w:rPr>
          <w:bCs/>
          <w:b/>
        </w:rPr>
        <w:t xml:space="preserve">Group A (Control):</w:t>
      </w:r>
      <w:r>
        <w:t xml:space="preserve"> </w:t>
      </w:r>
      <w:r>
        <w:t xml:space="preserve">Continues with existing work practices.</w:t>
      </w:r>
    </w:p>
    <w:p>
      <w:pPr>
        <w:numPr>
          <w:ilvl w:val="0"/>
          <w:numId w:val="1004"/>
        </w:numPr>
        <w:pStyle w:val="Compact"/>
      </w:pPr>
      <w:r>
        <w:rPr>
          <w:bCs/>
          <w:b/>
        </w:rPr>
        <w:t xml:space="preserve">Group B (Experimental):</w:t>
      </w:r>
      <w:r>
        <w:t xml:space="preserve"> </w:t>
      </w:r>
      <w:r>
        <w:t xml:space="preserve">Implements structured hybrid work schedules optimized for Miami’s time zone and cultural norms, including dedicated collaboration hours and flexible remote work days.</w:t>
      </w:r>
    </w:p>
    <w:p>
      <w:pPr>
        <w:pStyle w:val="FirstParagraph"/>
      </w:pPr>
      <w:r>
        <w:t xml:space="preserve">This phase aims to test whether tailored work policies can enhance the performance of</w:t>
      </w:r>
      <w:r>
        <w:t xml:space="preserve"> </w:t>
      </w:r>
      <w:r>
        <w:rPr>
          <w:bCs/>
          <w:b/>
        </w:rPr>
        <w:t xml:space="preserve">Software Engineer</w:t>
      </w:r>
      <w:r>
        <w:t xml:space="preserve"> </w:t>
      </w:r>
      <w:r>
        <w:t xml:space="preserve">teams in</w:t>
      </w:r>
      <w:r>
        <w:t xml:space="preserve"> </w:t>
      </w:r>
      <w:r>
        <w:rPr>
          <w:bCs/>
          <w:b/>
        </w:rPr>
        <w:t xml:space="preserve">United States Miami</w:t>
      </w:r>
      <w:r>
        <w:t xml:space="preserve">.</w:t>
      </w:r>
    </w:p>
    <w:bookmarkEnd w:id="27"/>
    <w:bookmarkStart w:id="28" w:name="X7d013ce86940de29e42f51ae51fdbb19a0a6241"/>
    <w:p>
      <w:pPr>
        <w:pStyle w:val="Heading3"/>
      </w:pPr>
      <w:r>
        <w:t xml:space="preserve">Phase 3: Post-Intervention Analysis (Weeks 9-12)</w:t>
      </w:r>
    </w:p>
    <w:p>
      <w:pPr>
        <w:pStyle w:val="FirstParagraph"/>
      </w:pPr>
      <w:r>
        <w:t xml:space="preserve">Data collection continues as in Phase 1. Participants will complete final surveys and participate in focus groups to provide feedback on the intervention. Comparative analysis will be conducted to evaluate changes in productivity, satisfaction, and collaboration.</w:t>
      </w:r>
    </w:p>
    <w:bookmarkEnd w:id="28"/>
    <w:bookmarkEnd w:id="29"/>
    <w:bookmarkStart w:id="30"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to strict ethical guidelines to protect participant privacy and ensure informed consent. Key measures include:</w:t>
      </w:r>
    </w:p>
    <w:p>
      <w:pPr>
        <w:numPr>
          <w:ilvl w:val="0"/>
          <w:numId w:val="1005"/>
        </w:numPr>
        <w:pStyle w:val="Compact"/>
      </w:pPr>
      <w:r>
        <w:t xml:space="preserve">All data will be anonymized and stored securely using encryption standards compliant with U.S. regulations.</w:t>
      </w:r>
    </w:p>
    <w:p>
      <w:pPr>
        <w:numPr>
          <w:ilvl w:val="0"/>
          <w:numId w:val="1005"/>
        </w:numPr>
        <w:pStyle w:val="Compact"/>
      </w:pPr>
      <w:r>
        <w:t xml:space="preserve">Participants will provide written consent before joining the study and may withdraw at any time without penalty.</w:t>
      </w:r>
    </w:p>
    <w:p>
      <w:pPr>
        <w:numPr>
          <w:ilvl w:val="0"/>
          <w:numId w:val="1005"/>
        </w:numPr>
        <w:pStyle w:val="Compact"/>
      </w:pPr>
      <w:r>
        <w:t xml:space="preserve">Employers will not have access to individual performance data; only aggregated results will be shared.</w:t>
      </w:r>
    </w:p>
    <w:p>
      <w:pPr>
        <w:numPr>
          <w:ilvl w:val="0"/>
          <w:numId w:val="1005"/>
        </w:numPr>
        <w:pStyle w:val="Compact"/>
      </w:pPr>
      <w:r>
        <w:t xml:space="preserve">The study has been reviewed and approved by an independent ethics committee.</w:t>
      </w:r>
    </w:p>
    <w:bookmarkEnd w:id="30"/>
    <w:bookmarkStart w:id="31" w:name="expected-outcomes"/>
    <w:p>
      <w:pPr>
        <w:pStyle w:val="Heading2"/>
      </w:pPr>
      <w:r>
        <w:t xml:space="preserve">6. Expected Outcomes</w:t>
      </w:r>
    </w:p>
    <w:p>
      <w:pPr>
        <w:pStyle w:val="FirstParagraph"/>
      </w:pPr>
      <w:r>
        <w:t xml:space="preserve">This study anticipates generating actionable insights into the factors that drive</w:t>
      </w:r>
      <w:r>
        <w:t xml:space="preserve"> </w:t>
      </w:r>
      <w:r>
        <w:rPr>
          <w:bCs/>
          <w:b/>
        </w:rPr>
        <w:t xml:space="preserve">Software Engineer</w:t>
      </w:r>
      <w:r>
        <w:t xml:space="preserve"> </w:t>
      </w:r>
      <w:r>
        <w:t xml:space="preserve">success in</w:t>
      </w:r>
      <w:r>
        <w:t xml:space="preserve"> </w:t>
      </w:r>
      <w:r>
        <w:rPr>
          <w:bCs/>
          <w:b/>
        </w:rPr>
        <w:t xml:space="preserve">United States Miami</w:t>
      </w:r>
      <w:r>
        <w:t xml:space="preserve">. Expected outcomes include:</w:t>
      </w:r>
    </w:p>
    <w:p>
      <w:pPr>
        <w:numPr>
          <w:ilvl w:val="0"/>
          <w:numId w:val="1006"/>
        </w:numPr>
        <w:pStyle w:val="Compact"/>
      </w:pPr>
      <w:r>
        <w:t xml:space="preserve">Identification of best practices for managing hybrid teams in Miami’s unique environment.</w:t>
      </w:r>
    </w:p>
    <w:p>
      <w:pPr>
        <w:numPr>
          <w:ilvl w:val="0"/>
          <w:numId w:val="1006"/>
        </w:numPr>
        <w:pStyle w:val="Compact"/>
      </w:pPr>
      <w:r>
        <w:t xml:space="preserve">Recommendations for improving local tech infrastructure to support engineering productivity.</w:t>
      </w:r>
    </w:p>
    <w:p>
      <w:pPr>
        <w:numPr>
          <w:ilvl w:val="0"/>
          <w:numId w:val="1006"/>
        </w:numPr>
        <w:pStyle w:val="Compact"/>
      </w:pPr>
      <w:r>
        <w:t xml:space="preserve">Understanding of how cultural diversity impacts innovation and problem-solving in software development teams.</w:t>
      </w:r>
    </w:p>
    <w:p>
      <w:pPr>
        <w:pStyle w:val="FirstParagraph"/>
      </w:pPr>
      <w:r>
        <w:t xml:space="preserve">These findings will contribute to the broader discourse on urban tech ecosystems and provide valuable guidance for companies considering expansion into Miami.</w:t>
      </w:r>
    </w:p>
    <w:bookmarkEnd w:id="31"/>
    <w:bookmarkStart w:id="32" w:name="conclusion"/>
    <w:p>
      <w:pPr>
        <w:pStyle w:val="Heading2"/>
      </w:pPr>
      <w:r>
        <w:t xml:space="preserve">7. Conclusion</w:t>
      </w:r>
    </w:p>
    <w:p>
      <w:pPr>
        <w:pStyle w:val="FirstParagraph"/>
      </w:pPr>
      <w:r>
        <w:t xml:space="preserve">As</w:t>
      </w:r>
      <w:r>
        <w:t xml:space="preserve"> </w:t>
      </w:r>
      <w:r>
        <w:rPr>
          <w:bCs/>
          <w:b/>
        </w:rPr>
        <w:t xml:space="preserve">United States Miami</w:t>
      </w:r>
      <w:r>
        <w:t xml:space="preserve"> </w:t>
      </w:r>
      <w:r>
        <w:t xml:space="preserve">continues to emerge as a key player in the global technology landscape, understanding the dynamics of its</w:t>
      </w:r>
      <w:r>
        <w:t xml:space="preserve"> </w:t>
      </w:r>
      <w:r>
        <w:rPr>
          <w:bCs/>
          <w:b/>
        </w:rPr>
        <w:t xml:space="preserve">Software Engineer</w:t>
      </w:r>
      <w:r>
        <w:t xml:space="preserve"> </w:t>
      </w:r>
      <w:r>
        <w:t xml:space="preserve">workforce is essential. This</w:t>
      </w:r>
      <w:r>
        <w:t xml:space="preserve"> </w:t>
      </w:r>
      <w:r>
        <w:rPr>
          <w:bCs/>
          <w:b/>
        </w:rPr>
        <w:t xml:space="preserve">Experiment Protocol</w:t>
      </w:r>
      <w:r>
        <w:t xml:space="preserve"> </w:t>
      </w:r>
      <w:r>
        <w:t xml:space="preserve">provides a rigorous framework for exploring these dynamics, ensuring that the resulting insights are both scientifically valid and practically applicable. By focusing on the intersection of technology, culture, and environment, this study aims to support the sustainable growth of Miami’s tech sector.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Miami</dc:title>
  <dc:creator/>
  <dc:language>en</dc:language>
  <cp:keywords/>
  <dcterms:created xsi:type="dcterms:W3CDTF">2026-10-10T01:40:02Z</dcterms:created>
  <dcterms:modified xsi:type="dcterms:W3CDTF">2026-10-10T01:40:02Z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