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Competency</w:t>
      </w:r>
      <w:r>
        <w:t xml:space="preserve"> </w:t>
      </w:r>
      <w:r>
        <w:t xml:space="preserve">and</w:t>
      </w:r>
      <w:r>
        <w:t xml:space="preserve"> </w:t>
      </w:r>
      <w:r>
        <w:t xml:space="preserve">Patient</w:t>
      </w:r>
      <w:r>
        <w:t xml:space="preserve"> </w:t>
      </w:r>
      <w:r>
        <w:t xml:space="preserve">Safety</w:t>
      </w:r>
      <w:r>
        <w:t xml:space="preserve"> </w:t>
      </w:r>
      <w:r>
        <w:t xml:space="preserve">in</w:t>
      </w:r>
      <w:r>
        <w:t xml:space="preserve"> </w:t>
      </w:r>
      <w:r>
        <w:t xml:space="preserve">Dhaka,</w:t>
      </w:r>
      <w:r>
        <w:t xml:space="preserve"> </w:t>
      </w:r>
      <w:r>
        <w:t xml:space="preserve">Bangladesh</w:t>
      </w:r>
    </w:p>
    <w:bookmarkStart w:id="20" w:name="Xe7eb7982f7fd7ae166ae2c9ec2bc23dcba0eb1a"/>
    <w:p>
      <w:pPr>
        <w:pStyle w:val="Heading1"/>
      </w:pPr>
      <w:r>
        <w:t xml:space="preserve">Experiment Protocol: Evaluation of Advanced Surgical Techniques and Outcomes in Dhaka, Bangladesh</w:t>
      </w:r>
    </w:p>
    <w:p>
      <w:pPr>
        <w:pStyle w:val="FirstParagraph"/>
      </w:pPr>
      <w:r>
        <w:rPr>
          <w:bCs/>
          <w:b/>
        </w:rPr>
        <w:t xml:space="preserve">Protocol ID:</w:t>
      </w:r>
      <w:r>
        <w:t xml:space="preserve"> </w:t>
      </w:r>
      <w:r>
        <w:t xml:space="preserve">BD-DHK-SURG-2024-001</w:t>
      </w:r>
    </w:p>
    <w:p>
      <w:pPr>
        <w:pStyle w:val="BodyText"/>
      </w:pPr>
      <w:r>
        <w:rPr>
          <w:bCs/>
          <w:b/>
        </w:rPr>
        <w:t xml:space="preserve">Principal Investigator:</w:t>
      </w:r>
      <w:r>
        <w:t xml:space="preserve"> </w:t>
      </w:r>
      <w:r>
        <w:t xml:space="preserve">[Name of Lead Surgeon]</w:t>
      </w:r>
    </w:p>
    <w:p>
      <w:pPr>
        <w:pStyle w:val="BodyText"/>
      </w:pPr>
      <w:r>
        <w:rPr>
          <w:bCs/>
          <w:b/>
        </w:rPr>
        <w:t xml:space="preserve">Affiliation:</w:t>
      </w:r>
      <w:r>
        <w:t xml:space="preserve"> </w:t>
      </w:r>
      <w:r>
        <w:t xml:space="preserve">[Name of Hospital/Institution], Dhaka, Bangladesh</w:t>
      </w:r>
    </w:p>
    <w:p>
      <w:pPr>
        <w:pStyle w:val="BodyText"/>
      </w:pPr>
      <w:r>
        <w:rPr>
          <w:bCs/>
          <w:b/>
        </w:rPr>
        <w:t xml:space="preserve">Date of Submission:</w:t>
      </w:r>
      <w:r>
        <w:t xml:space="preserve"> </w:t>
      </w:r>
      <w:r>
        <w:t xml:space="preserve">October 26, 2023</w:t>
      </w:r>
    </w:p>
    <w:p>
      <w:pPr>
        <w:pStyle w:val="BodyText"/>
      </w:pPr>
      <w:r>
        <w:rPr>
          <w:bCs/>
          <w:b/>
        </w:rPr>
        <w:t xml:space="preserve">Ethics Committee Approval:</w:t>
      </w:r>
      <w:r>
        <w:t xml:space="preserve"> </w:t>
      </w:r>
      <w:r>
        <w:t xml:space="preserve">Pending / Approved by [Name of Ethics Board]</w:t>
      </w:r>
    </w:p>
    <w:bookmarkEnd w:id="20"/>
    <w:bookmarkStart w:id="21"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Bangladesh Dhaka</w:t>
      </w:r>
      <w:r>
        <w:t xml:space="preserve"> </w:t>
      </w:r>
      <w:r>
        <w:t xml:space="preserve">is rapidly evolving, characterized by a high volume of surgical cases and an increasing demand for specialized care. As the capital city, Dhaka hosts the majority of the nation's tertiary care facilities, making it the epicenter for surgical innovation and training. However, challenges such as resource constraints, high patient loads, and varying levels of surgical expertise persist. This</w:t>
      </w:r>
      <w:r>
        <w:t xml:space="preserve"> </w:t>
      </w:r>
      <w:r>
        <w:rPr>
          <w:bCs/>
          <w:b/>
        </w:rPr>
        <w:t xml:space="preserve">Experiment Protocol</w:t>
      </w:r>
      <w:r>
        <w:t xml:space="preserve"> </w:t>
      </w:r>
      <w:r>
        <w:t xml:space="preserve">aims to address these challenges by rigorously evaluating the efficacy, safety, and cost-effectiveness of a specific advanced surgical intervention compared to standard care.</w:t>
      </w:r>
    </w:p>
    <w:p>
      <w:pPr>
        <w:pStyle w:val="BodyText"/>
      </w:pPr>
      <w:r>
        <w:t xml:space="preserve">The role of the</w:t>
      </w:r>
      <w:r>
        <w:t xml:space="preserve"> </w:t>
      </w:r>
      <w:r>
        <w:rPr>
          <w:bCs/>
          <w:b/>
        </w:rPr>
        <w:t xml:space="preserve">Surgeon</w:t>
      </w:r>
      <w:r>
        <w:t xml:space="preserve"> </w:t>
      </w:r>
      <w:r>
        <w:t xml:space="preserve">in this context is pivotal. Not only must the surgeon possess technical proficiency, but they must also adapt to the unique environmental and socioeconomic conditions of Dhaka. This protocol focuses on assessing how specific surgical techniques impact patient recovery times, complication rates, and overall quality of life within this specific demographic. By standardizing the approach and meticulously documenting outcomes, we aim to contribute valuable data to the global surgical community while improving local healthcare standards.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the clinical efficacy and safety of [Insert Specific Surgical Technique, e.g., Laparoscopic Cholecystectomy] performed by qualified surgeons in Dhaka-based hospitals compared to traditional open surgery methods.</w:t>
      </w:r>
    </w:p>
    <w:bookmarkEnd w:id="22"/>
    <w:bookmarkStart w:id="23" w:name="secondary-objectives"/>
    <w:p>
      <w:pPr>
        <w:pStyle w:val="Heading3"/>
      </w:pPr>
      <w:r>
        <w:t xml:space="preserve">2.2 Secondary Objectives</w:t>
      </w:r>
    </w:p>
    <w:p>
      <w:pPr>
        <w:numPr>
          <w:ilvl w:val="0"/>
          <w:numId w:val="1001"/>
        </w:numPr>
        <w:pStyle w:val="Compact"/>
      </w:pPr>
      <w:r>
        <w:t xml:space="preserve">To evaluate the impact of the surgical technique on post-operative pain levels and hospital stay duration.</w:t>
      </w:r>
    </w:p>
    <w:p>
      <w:pPr>
        <w:numPr>
          <w:ilvl w:val="0"/>
          <w:numId w:val="1001"/>
        </w:numPr>
        <w:pStyle w:val="Compact"/>
      </w:pPr>
      <w:r>
        <w:t xml:space="preserve">To assess the economic burden on patients in Dhaka, considering direct medical costs and indirect costs such as lost wages.</w:t>
      </w:r>
    </w:p>
    <w:p>
      <w:pPr>
        <w:numPr>
          <w:ilvl w:val="0"/>
          <w:numId w:val="1001"/>
        </w:numPr>
        <w:pStyle w:val="Compact"/>
      </w:pPr>
      <w:r>
        <w:t xml:space="preserve">To analyze the learning curve and competency development of resident surgeons participating in the experiment.</w:t>
      </w:r>
    </w:p>
    <w:p>
      <w:pPr>
        <w:numPr>
          <w:ilvl w:val="0"/>
          <w:numId w:val="1001"/>
        </w:numPr>
        <w:pStyle w:val="Compact"/>
      </w:pPr>
      <w:r>
        <w:t xml:space="preserve">To identify specific risk factors prevalent in the Dhaka population that may influence surgical outcomes.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outlines a prospective, randomized controlled trial (RCT). Patients will be randomly assigned to either the experimental group (receiving the advanced surgical technique) or the control group (receiving standard care). Randomization will be stratified by age, gender, and comorbidities to ensure balanced groups.</w:t>
      </w:r>
    </w:p>
    <w:bookmarkEnd w:id="25"/>
    <w:bookmarkStart w:id="26" w:name="study-setting"/>
    <w:p>
      <w:pPr>
        <w:pStyle w:val="Heading3"/>
      </w:pPr>
      <w:r>
        <w:t xml:space="preserve">3.2 Study Setting</w:t>
      </w:r>
    </w:p>
    <w:p>
      <w:pPr>
        <w:pStyle w:val="FirstParagraph"/>
      </w:pPr>
      <w:r>
        <w:t xml:space="preserve">The study will be conducted at [Name of Hospital], a leading medical facility in</w:t>
      </w:r>
      <w:r>
        <w:t xml:space="preserve"> </w:t>
      </w:r>
      <w:r>
        <w:rPr>
          <w:bCs/>
          <w:b/>
        </w:rPr>
        <w:t xml:space="preserve">Bangladesh Dhaka</w:t>
      </w:r>
      <w:r>
        <w:t xml:space="preserve">. The selection of this site is based on its high surgical volume, availability of necessary equipment, and established ethical review processes. The hospital serves a diverse population, providing a representative sample of the urban demographic in Dhaka.</w:t>
      </w:r>
    </w:p>
    <w:bookmarkEnd w:id="26"/>
    <w:bookmarkStart w:id="27" w:name="participant-selection"/>
    <w:p>
      <w:pPr>
        <w:pStyle w:val="Heading3"/>
      </w:pPr>
      <w:r>
        <w:t xml:space="preserve">3.3 Participant Selection</w:t>
      </w:r>
    </w:p>
    <w:p>
      <w:pPr>
        <w:pStyle w:val="FirstParagraph"/>
      </w:pPr>
      <w:r>
        <w:rPr>
          <w:bCs/>
          <w:b/>
        </w:rPr>
        <w:t xml:space="preserve">Inclusion Criteria:</w:t>
      </w:r>
    </w:p>
    <w:p>
      <w:pPr>
        <w:numPr>
          <w:ilvl w:val="0"/>
          <w:numId w:val="1002"/>
        </w:numPr>
        <w:pStyle w:val="Compact"/>
      </w:pPr>
      <w:r>
        <w:t xml:space="preserve">Patients aged 18 to 70 years.</w:t>
      </w:r>
    </w:p>
    <w:p>
      <w:pPr>
        <w:numPr>
          <w:ilvl w:val="0"/>
          <w:numId w:val="1002"/>
        </w:numPr>
        <w:pStyle w:val="Compact"/>
      </w:pPr>
      <w:r>
        <w:t xml:space="preserve">Diagnosed with [Specific Condition] confirmed by imaging and clinical evaluation.</w:t>
      </w:r>
    </w:p>
    <w:p>
      <w:pPr>
        <w:numPr>
          <w:ilvl w:val="0"/>
          <w:numId w:val="1002"/>
        </w:numPr>
        <w:pStyle w:val="Compact"/>
      </w:pPr>
      <w:r>
        <w:t xml:space="preserve">Residing in Dhaka or surrounding areas for at least six months.</w:t>
      </w:r>
    </w:p>
    <w:p>
      <w:pPr>
        <w:numPr>
          <w:ilvl w:val="0"/>
          <w:numId w:val="1002"/>
        </w:numPr>
        <w:pStyle w:val="Compact"/>
      </w:pPr>
      <w:r>
        <w:t xml:space="preserve">Ability to provide informed consent in Bengali or English.</w:t>
      </w:r>
    </w:p>
    <w:p>
      <w:pPr>
        <w:pStyle w:val="FirstParagraph"/>
      </w:pPr>
      <w:r>
        <w:rPr>
          <w:bCs/>
          <w:b/>
        </w:rPr>
        <w:t xml:space="preserve">Exclusion Criteria:</w:t>
      </w:r>
    </w:p>
    <w:p>
      <w:pPr>
        <w:numPr>
          <w:ilvl w:val="0"/>
          <w:numId w:val="1003"/>
        </w:numPr>
        <w:pStyle w:val="Compact"/>
      </w:pPr>
      <w:r>
        <w:t xml:space="preserve">Severe comorbidities that preclude surgery (e.g., uncontrolled cardiac disease).</w:t>
      </w:r>
    </w:p>
    <w:p>
      <w:pPr>
        <w:numPr>
          <w:ilvl w:val="0"/>
          <w:numId w:val="1003"/>
        </w:numPr>
        <w:pStyle w:val="Compact"/>
      </w:pPr>
      <w:r>
        <w:t xml:space="preserve">Pregnancy.</w:t>
      </w:r>
    </w:p>
    <w:p>
      <w:pPr>
        <w:numPr>
          <w:ilvl w:val="0"/>
          <w:numId w:val="1003"/>
        </w:numPr>
        <w:pStyle w:val="Compact"/>
      </w:pPr>
      <w:r>
        <w:t xml:space="preserve">Previous surgery in the same anatomical region.</w:t>
      </w:r>
    </w:p>
    <w:bookmarkEnd w:id="27"/>
    <w:bookmarkEnd w:id="28"/>
    <w:bookmarkStart w:id="29" w:name="X851aac61874ef4d842247fcb200fc2eaf597603"/>
    <w:p>
      <w:pPr>
        <w:pStyle w:val="Heading2"/>
      </w:pPr>
      <w:r>
        <w:t xml:space="preserve">4. Surgical Procedure and Surgeon Responsibilities</w:t>
      </w:r>
    </w:p>
    <w:p>
      <w:pPr>
        <w:pStyle w:val="FirstParagraph"/>
      </w:pPr>
      <w:r>
        <w:t xml:space="preserve">The</w:t>
      </w:r>
      <w:r>
        <w:t xml:space="preserve"> </w:t>
      </w:r>
      <w:r>
        <w:rPr>
          <w:bCs/>
          <w:b/>
        </w:rPr>
        <w:t xml:space="preserve">Surgeon</w:t>
      </w:r>
      <w:r>
        <w:t xml:space="preserve"> </w:t>
      </w:r>
      <w:r>
        <w:t xml:space="preserve">leading the experimental group must be board-certified and have completed a minimum of 50 procedures using the advanced technique. All surgical procedures will adhere to strict aseptic techniques and international safety standards. The protocol mandates that the surgeon documents every step of the procedure, including operative time, blood loss, and any intraoperative complications.</w:t>
      </w:r>
    </w:p>
    <w:p>
      <w:pPr>
        <w:pStyle w:val="BodyText"/>
      </w:pPr>
      <w:r>
        <w:t xml:space="preserve">In the context of</w:t>
      </w:r>
      <w:r>
        <w:t xml:space="preserve"> </w:t>
      </w:r>
      <w:r>
        <w:rPr>
          <w:bCs/>
          <w:b/>
        </w:rPr>
        <w:t xml:space="preserve">Bangladesh Dhaka</w:t>
      </w:r>
      <w:r>
        <w:t xml:space="preserve">, where power fluctuations and supply chain issues can occur, the surgeon must also be prepared with contingency plans. This includes the availability of backup power sources and alternative surgical instruments. The surgeon's role extends beyond the operating room; they are responsible for overseeing post-operative care, ensuring that nursing staff are trained in managing patients who have undergone the specific procedure.</w:t>
      </w:r>
    </w:p>
    <w:bookmarkEnd w:id="29"/>
    <w:bookmarkStart w:id="30" w:name="data-collection-and-analysis"/>
    <w:p>
      <w:pPr>
        <w:pStyle w:val="Heading2"/>
      </w:pPr>
      <w:r>
        <w:t xml:space="preserve">5. Data Collection and Analysis</w:t>
      </w:r>
    </w:p>
    <w:p>
      <w:pPr>
        <w:pStyle w:val="FirstParagraph"/>
      </w:pPr>
      <w:r>
        <w:t xml:space="preserve">Data will be collected at baseline, immediately post-operatively, and at follow-up intervals of 1 week, 1 month, and 6 months. Key metrics include:</w:t>
      </w:r>
    </w:p>
    <w:p>
      <w:pPr>
        <w:numPr>
          <w:ilvl w:val="0"/>
          <w:numId w:val="1004"/>
        </w:numPr>
        <w:pStyle w:val="Compact"/>
      </w:pPr>
      <w:r>
        <w:rPr>
          <w:bCs/>
          <w:b/>
        </w:rPr>
        <w:t xml:space="preserve">Clinical Outcomes:</w:t>
      </w:r>
      <w:r>
        <w:t xml:space="preserve"> </w:t>
      </w:r>
      <w:r>
        <w:t xml:space="preserve">Infection rates, readmission rates, and mortality.</w:t>
      </w:r>
    </w:p>
    <w:p>
      <w:pPr>
        <w:numPr>
          <w:ilvl w:val="0"/>
          <w:numId w:val="1004"/>
        </w:numPr>
        <w:pStyle w:val="Compact"/>
      </w:pPr>
      <w:r>
        <w:rPr>
          <w:bCs/>
          <w:b/>
        </w:rPr>
        <w:t xml:space="preserve">Patient-Reported Outcomes:</w:t>
      </w:r>
      <w:r>
        <w:t xml:space="preserve"> </w:t>
      </w:r>
      <w:r>
        <w:t xml:space="preserve">Pain scores (VAS), quality of life questionnaires (SF-36).</w:t>
      </w:r>
    </w:p>
    <w:p>
      <w:pPr>
        <w:numPr>
          <w:ilvl w:val="0"/>
          <w:numId w:val="1004"/>
        </w:numPr>
        <w:pStyle w:val="Compact"/>
      </w:pPr>
      <w:r>
        <w:rPr>
          <w:bCs/>
          <w:b/>
        </w:rPr>
        <w:t xml:space="preserve">Economic Data:</w:t>
      </w:r>
      <w:r>
        <w:t xml:space="preserve"> </w:t>
      </w:r>
      <w:r>
        <w:t xml:space="preserve">Total cost of care, out-of-pocket expenses.</w:t>
      </w:r>
    </w:p>
    <w:p>
      <w:pPr>
        <w:pStyle w:val="FirstParagraph"/>
      </w:pPr>
      <w:r>
        <w:t xml:space="preserve">Statistical analysis will be performed using appropriate software (e.g., SPSS). Intention-to-treat analysis will be employed to maintain the integrity of the randomization. The results will be interpreted in the context of the local healthcare environment in Dhaka, considering factors such as patient compliance and follow-up attendance.</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the Declaration of Helsinki and local ethical guidelines. Informed consent will be obtained from all participants in their preferred language. The consent process will clearly explain the risks, benefits, and alternatives of both surgical options. Special attention will be paid to vulnerable populations, ensuring that participation is voluntary and free from coercion.</w:t>
      </w:r>
    </w:p>
    <w:p>
      <w:pPr>
        <w:pStyle w:val="BodyText"/>
      </w:pPr>
      <w:r>
        <w:t xml:space="preserve">Patient confidentiality will be maintained through anonymized data collection. Any adverse events will be reported immediately to the ethics committee. The well-being of the patient always takes precedence over the objectives of the experiment.</w:t>
      </w:r>
    </w:p>
    <w:bookmarkEnd w:id="31"/>
    <w:bookmarkStart w:id="32" w:name="conclusion"/>
    <w:p>
      <w:pPr>
        <w:pStyle w:val="Heading2"/>
      </w:pPr>
      <w:r>
        <w:t xml:space="preserve">7. Conclusion</w:t>
      </w:r>
    </w:p>
    <w:p>
      <w:pPr>
        <w:pStyle w:val="FirstParagraph"/>
      </w:pPr>
      <w:r>
        <w:t xml:space="preserve">This protocol provides a comprehensive framework for evaluating advanced surgical techniques in</w:t>
      </w:r>
      <w:r>
        <w:t xml:space="preserve"> </w:t>
      </w:r>
      <w:r>
        <w:rPr>
          <w:bCs/>
          <w:b/>
        </w:rPr>
        <w:t xml:space="preserve">Bangladesh Dhaka</w:t>
      </w:r>
      <w:r>
        <w:t xml:space="preserve">. By focusing on the critical role of the</w:t>
      </w:r>
      <w:r>
        <w:t xml:space="preserve"> </w:t>
      </w:r>
      <w:r>
        <w:rPr>
          <w:bCs/>
          <w:b/>
        </w:rPr>
        <w:t xml:space="preserve">Surgeon</w:t>
      </w:r>
      <w:r>
        <w:t xml:space="preserve"> </w:t>
      </w:r>
      <w:r>
        <w:t xml:space="preserve">and the specific challenges of the local environment, this study aims to generate evidence that can improve surgical care for thousands of patients. The findings will contribute to the development of best practices tailored to the needs of the Bangladeshi population, ultimately enhancing the quality and accessibility of surgical services in Dhaka and beyond.</w:t>
      </w:r>
    </w:p>
    <w:bookmarkEnd w:id="32"/>
    <w:p>
      <w:pPr>
        <w:pStyle w:val="BodyText"/>
      </w:pPr>
      <w:r>
        <w:t xml:space="preserve">© 2023 [Institution Name].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Competency and Patient Safety in Dhaka, Bangladesh</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