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Surgical</w:t>
      </w:r>
      <w:r>
        <w:t xml:space="preserve"> </w:t>
      </w:r>
      <w:r>
        <w:t xml:space="preserve">Techniques</w:t>
      </w:r>
      <w:r>
        <w:t xml:space="preserve"> </w:t>
      </w:r>
      <w:r>
        <w:t xml:space="preserve">in</w:t>
      </w:r>
      <w:r>
        <w:t xml:space="preserve"> </w:t>
      </w:r>
      <w:r>
        <w:t xml:space="preserve">Tehran</w:t>
      </w:r>
    </w:p>
    <w:bookmarkStart w:id="20" w:name="X64aad9031df385fd774b4f714a25d7f2bb588d4"/>
    <w:p>
      <w:pPr>
        <w:pStyle w:val="Heading1"/>
      </w:pPr>
      <w:r>
        <w:t xml:space="preserve">Experiment Protocol: Evaluation of Minimally Invasive Surgical Techniques</w:t>
      </w:r>
    </w:p>
    <w:p>
      <w:pPr>
        <w:pStyle w:val="FirstParagraph"/>
      </w:pPr>
      <w:r>
        <w:rPr>
          <w:bCs/>
          <w:b/>
        </w:rPr>
        <w:t xml:space="preserve">Location:</w:t>
      </w:r>
      <w:r>
        <w:t xml:space="preserve"> </w:t>
      </w:r>
      <w:r>
        <w:t xml:space="preserve">Tehran, Iran</w:t>
      </w:r>
    </w:p>
    <w:p>
      <w:pPr>
        <w:pStyle w:val="BodyText"/>
      </w:pPr>
      <w:r>
        <w:rPr>
          <w:bCs/>
          <w:b/>
        </w:rPr>
        <w:t xml:space="preserve">Target Professional:</w:t>
      </w:r>
      <w:r>
        <w:t xml:space="preserve"> </w:t>
      </w:r>
      <w:r>
        <w:t xml:space="preserve">Surgeon</w:t>
      </w:r>
    </w:p>
    <w:p>
      <w:pPr>
        <w:pStyle w:val="BodyText"/>
      </w:pPr>
      <w:r>
        <w:rPr>
          <w:bCs/>
          <w:b/>
        </w:rPr>
        <w:t xml:space="preserve">Protocol ID:</w:t>
      </w:r>
      <w:r>
        <w:t xml:space="preserve"> </w:t>
      </w:r>
      <w:r>
        <w:t xml:space="preserve">IR-TEH-SURG-2024-001</w:t>
      </w:r>
    </w:p>
    <w:p>
      <w:pPr>
        <w:pStyle w:val="BodyText"/>
      </w:pPr>
      <w:r>
        <w:rPr>
          <w:bCs/>
          <w:b/>
        </w:rPr>
        <w:t xml:space="preserve">Date of Issue:</w:t>
      </w:r>
      <w:r>
        <w:t xml:space="preserve"> </w:t>
      </w:r>
      <w:r>
        <w:t xml:space="preserve">October 2023</w:t>
      </w:r>
    </w:p>
    <w:bookmarkEnd w:id="20"/>
    <w:p>
      <w:pPr>
        <w:pStyle w:val="BodyText"/>
      </w:pPr>
      <w:r>
        <w:t xml:space="preserve">1. Introduction and Background</w:t>
      </w:r>
    </w:p>
    <w:p>
      <w:pPr>
        <w:pStyle w:val="BodyText"/>
      </w:pPr>
      <w:r>
        <w:t xml:space="preserve">This Experiment Protocol outlines the structured methodology for assessing the efficacy, safety, and long-term outcomes of advanced minimally invasive surgical techniques performed by a qualified Surgeon within the healthcare infrastructure of Tehran, Iran. The rapid evolution of surgical technology necessitates rigorous clinical trials to validate new procedures before widespread adoption. This document serves as the governing framework for the research team, ensuring compliance with international medical standards while respecting the specific regulatory environment of the Islamic Republic of Iran.</w:t>
      </w:r>
    </w:p>
    <w:p>
      <w:pPr>
        <w:pStyle w:val="BodyText"/>
      </w:pPr>
      <w:r>
        <w:t xml:space="preserve">The primary objective is to determine if the novel technique reduces recovery time and postoperative complications compared to traditional open surgery. The Surgeon leading this experiment must adhere strictly to the guidelines set forth herein to ensure data integrity and patient safety.</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evaluate the technical feasibility of the procedure as performed by the Surgeon in a Tehran-based medical center.</w:t>
      </w:r>
    </w:p>
    <w:p>
      <w:pPr>
        <w:numPr>
          <w:ilvl w:val="0"/>
          <w:numId w:val="1001"/>
        </w:numPr>
        <w:pStyle w:val="Compact"/>
      </w:pPr>
      <w:r>
        <w:t xml:space="preserve">To measure patient recovery metrics, including hospital stay duration and return to daily activities.</w:t>
      </w:r>
    </w:p>
    <w:p>
      <w:pPr>
        <w:numPr>
          <w:ilvl w:val="0"/>
          <w:numId w:val="1001"/>
        </w:numPr>
        <w:pStyle w:val="Compact"/>
      </w:pPr>
      <w:r>
        <w:t xml:space="preserve">To assess the incidence of intraoperative and postoperative complications.</w:t>
      </w:r>
    </w:p>
    <w:p>
      <w:pPr>
        <w:numPr>
          <w:ilvl w:val="0"/>
          <w:numId w:val="1001"/>
        </w:numPr>
        <w:pStyle w:val="Compact"/>
      </w:pPr>
      <w:r>
        <w:t xml:space="preserve">To analyze the cost-effectiveness of the procedure within the Iranian healthcare economic context.</w:t>
      </w:r>
    </w:p>
    <w:p>
      <w:pPr>
        <w:pStyle w:val="FirstParagraph"/>
      </w:pPr>
      <w:r>
        <w:t xml:space="preserve">3. Regulatory Compliance and Ethics</w:t>
      </w:r>
    </w:p>
    <w:p>
      <w:pPr>
        <w:pStyle w:val="BodyText"/>
      </w:pPr>
      <w:r>
        <w:t xml:space="preserve">All procedures must comply with the regulations set by the Ministry of Health and Medical Education of Iran. The protocol has been reviewed and approved by the Institutional Review Board (IRB) of the participating hospital in Tehran. The Surgeon is responsible for ensuring that informed consent is obtained from all participants in a language they fully understand, typically Persian, with English translations available for international observers.</w:t>
      </w:r>
    </w:p>
    <w:p>
      <w:pPr>
        <w:pStyle w:val="BodyText"/>
      </w:pPr>
      <w:r>
        <w:t xml:space="preserve">Patient confidentiality must be maintained in accordance with Iranian data protection laws. Any adverse events must be reported immediately to the ethics committee and the relevant health authorities in Tehran.</w:t>
      </w:r>
    </w:p>
    <w:p>
      <w:pPr>
        <w:pStyle w:val="BodyText"/>
      </w:pPr>
      <w:r>
        <w:t xml:space="preserve">4. Participant Selection Criteria</w:t>
      </w:r>
    </w:p>
    <w:p>
      <w:pPr>
        <w:pStyle w:val="BodyText"/>
      </w:pPr>
      <w:r>
        <w:rPr>
          <w:bCs/>
          <w:b/>
        </w:rPr>
        <w:t xml:space="preserve">Inclusion Criteria:</w:t>
      </w:r>
    </w:p>
    <w:p>
      <w:pPr>
        <w:numPr>
          <w:ilvl w:val="0"/>
          <w:numId w:val="1002"/>
        </w:numPr>
        <w:pStyle w:val="Compact"/>
      </w:pPr>
      <w:r>
        <w:t xml:space="preserve">Patients aged 18 to 75 years.</w:t>
      </w:r>
    </w:p>
    <w:p>
      <w:pPr>
        <w:numPr>
          <w:ilvl w:val="0"/>
          <w:numId w:val="1002"/>
        </w:numPr>
        <w:pStyle w:val="Compact"/>
      </w:pPr>
      <w:r>
        <w:t xml:space="preserve">Diagnosed with the specific condition requiring surgical intervention.</w:t>
      </w:r>
    </w:p>
    <w:p>
      <w:pPr>
        <w:numPr>
          <w:ilvl w:val="0"/>
          <w:numId w:val="1002"/>
        </w:numPr>
        <w:pStyle w:val="Compact"/>
      </w:pPr>
      <w:r>
        <w:t xml:space="preserve">Residing in or near Tehran to facilitate follow-up visits.</w:t>
      </w:r>
    </w:p>
    <w:p>
      <w:pPr>
        <w:numPr>
          <w:ilvl w:val="0"/>
          <w:numId w:val="1002"/>
        </w:numPr>
        <w:pStyle w:val="Compact"/>
      </w:pPr>
      <w:r>
        <w:t xml:space="preserve">Medically fit for anesthesia as determined by a preoperative assessment.</w:t>
      </w:r>
    </w:p>
    <w:p>
      <w:pPr>
        <w:pStyle w:val="FirstParagraph"/>
      </w:pPr>
      <w:r>
        <w:rPr>
          <w:bCs/>
          <w:b/>
        </w:rPr>
        <w:t xml:space="preserve">Exclusion Criteria:</w:t>
      </w:r>
    </w:p>
    <w:p>
      <w:pPr>
        <w:numPr>
          <w:ilvl w:val="0"/>
          <w:numId w:val="1003"/>
        </w:numPr>
        <w:pStyle w:val="Compact"/>
      </w:pPr>
      <w:r>
        <w:t xml:space="preserve">Pregnant women.</w:t>
      </w:r>
    </w:p>
    <w:p>
      <w:pPr>
        <w:numPr>
          <w:ilvl w:val="0"/>
          <w:numId w:val="1003"/>
        </w:numPr>
        <w:pStyle w:val="Compact"/>
      </w:pPr>
      <w:r>
        <w:t xml:space="preserve">Patients with severe comorbidities that increase surgical risk.</w:t>
      </w:r>
    </w:p>
    <w:p>
      <w:pPr>
        <w:numPr>
          <w:ilvl w:val="0"/>
          <w:numId w:val="1003"/>
        </w:numPr>
        <w:pStyle w:val="Compact"/>
      </w:pPr>
      <w:r>
        <w:t xml:space="preserve">Previous surgery in the same anatomical region that may complicate the procedure.</w:t>
      </w:r>
    </w:p>
    <w:p>
      <w:pPr>
        <w:pStyle w:val="FirstParagraph"/>
      </w:pPr>
      <w:r>
        <w:t xml:space="preserve">5. Methodology</w:t>
      </w:r>
    </w:p>
    <w:p>
      <w:pPr>
        <w:pStyle w:val="BodyText"/>
      </w:pPr>
      <w:r>
        <w:rPr>
          <w:bCs/>
          <w:b/>
        </w:rPr>
        <w:t xml:space="preserve">5.1 Preoperative Phase:</w:t>
      </w:r>
    </w:p>
    <w:p>
      <w:pPr>
        <w:pStyle w:val="BodyText"/>
      </w:pPr>
      <w:r>
        <w:t xml:space="preserve">The Surgeon will conduct a comprehensive preoperative evaluation of each participant. This includes physical examination, imaging studies, and laboratory tests. Patients will be randomized into two groups: the experimental group receiving the minimally invasive technique and the control group receiving standard open surgery. Randomization will be performed using a computer-generated sequence to minimize bias.</w:t>
      </w:r>
    </w:p>
    <w:p>
      <w:pPr>
        <w:pStyle w:val="BodyText"/>
      </w:pPr>
      <w:r>
        <w:rPr>
          <w:bCs/>
          <w:b/>
        </w:rPr>
        <w:t xml:space="preserve">5.2 Intraoperative Phase:</w:t>
      </w:r>
    </w:p>
    <w:p>
      <w:pPr>
        <w:pStyle w:val="BodyText"/>
      </w:pPr>
      <w:r>
        <w:t xml:space="preserve">The Surgeon will perform the procedure according to the standardized surgical manual provided in Appendix A. All surgeries will take place in accredited operating theaters in Tehran equipped with the necessary technology. The duration of the surgery, blood loss, and any intraoperative complications will be recorded in detail.</w:t>
      </w:r>
    </w:p>
    <w:p>
      <w:pPr>
        <w:pStyle w:val="BodyText"/>
      </w:pPr>
      <w:r>
        <w:rPr>
          <w:bCs/>
          <w:b/>
        </w:rPr>
        <w:t xml:space="preserve">5.3 Postoperative Phase:</w:t>
      </w:r>
    </w:p>
    <w:p>
      <w:pPr>
        <w:pStyle w:val="BodyText"/>
      </w:pPr>
      <w:r>
        <w:t xml:space="preserve">Patients will be monitored in the recovery room and then transferred to the ward. Pain levels, mobility, and wound healing will be assessed daily. Follow-up visits will be scheduled at 1 week, 1 month, 3 months, and 6 months post-surgery. The Surgeon will document any complications and patient-reported outcomes.</w:t>
      </w:r>
    </w:p>
    <w:p>
      <w:pPr>
        <w:pStyle w:val="BodyText"/>
      </w:pPr>
      <w:r>
        <w:t xml:space="preserve">6. Data Collection and Analysis</w:t>
      </w:r>
    </w:p>
    <w:p>
      <w:pPr>
        <w:pStyle w:val="BodyText"/>
      </w:pPr>
      <w:r>
        <w:t xml:space="preserve">Data will be collected using standardized case report forms (CRFs). Electronic data capture systems will be used to ensure accuracy and completeness. Statistical analysis will be performed using appropriate software. Continuous variables will be compared using t-tests or Mann-Whitney U tests, while categorical variables will be analyzed using chi-square tests. A p-value of less than 0.05 will be considered statistically significant.</w:t>
      </w:r>
    </w:p>
    <w:p>
      <w:pPr>
        <w:pStyle w:val="BodyText"/>
      </w:pPr>
      <w:r>
        <w:t xml:space="preserve">7. Risk Management</w:t>
      </w:r>
    </w:p>
    <w:p>
      <w:pPr>
        <w:pStyle w:val="BodyText"/>
      </w:pPr>
      <w:r>
        <w:t xml:space="preserve">Potential risks include infection, bleeding, organ injury, and adverse reactions to anesthesia. The Surgeon must be prepared to manage these complications promptly. A detailed risk mitigation plan is included in Appendix B. In the event of a serious adverse event, the experiment may be paused or terminated by the ethics committee.</w:t>
      </w:r>
    </w:p>
    <w:p>
      <w:pPr>
        <w:pStyle w:val="BodyText"/>
      </w:pPr>
      <w:r>
        <w:t xml:space="preserve">8. Conclusion</w:t>
      </w:r>
    </w:p>
    <w:p>
      <w:pPr>
        <w:pStyle w:val="BodyText"/>
      </w:pPr>
      <w:r>
        <w:t xml:space="preserve">This Experiment Protocol provides a comprehensive framework for evaluating advanced surgical techniques in Tehran, Iran. By adhering to these guidelines, the Surgeon and research team will contribute valuable evidence to the field of surgery, potentially improving patient care and outcomes. The success of this experiment depends on strict adherence to the protocol, ethical conduct, and accurate data collection.</w:t>
      </w:r>
    </w:p>
    <w:p>
      <w:pPr>
        <w:pStyle w:val="BodyText"/>
      </w:pPr>
      <w:r>
        <w:rPr>
          <w:bCs/>
          <w:b/>
        </w:rPr>
        <w:t xml:space="preserve">Document Control:</w:t>
      </w:r>
      <w:r>
        <w:t xml:space="preserve"> </w:t>
      </w:r>
      <w:r>
        <w:t xml:space="preserve">This document is the property of the Research Institute of Tehran. Unauthorized reproduction or distribution is prohibited.</w:t>
      </w:r>
    </w:p>
    <w:p>
      <w:pPr>
        <w:pStyle w:val="BodyText"/>
      </w:pPr>
      <w:r>
        <w:rPr>
          <w:bCs/>
          <w:b/>
        </w:rPr>
        <w:t xml:space="preserve">Version:</w:t>
      </w:r>
      <w:r>
        <w:t xml:space="preserve"> </w:t>
      </w:r>
      <w:r>
        <w:t xml:space="preserve">1.0 |</w:t>
      </w:r>
      <w:r>
        <w:t xml:space="preserve"> </w:t>
      </w:r>
      <w:r>
        <w:rPr>
          <w:bCs/>
          <w:b/>
        </w:rPr>
        <w:t xml:space="preserve">Approved By:</w:t>
      </w:r>
      <w:r>
        <w:t xml:space="preserve"> </w:t>
      </w:r>
      <w:r>
        <w:t xml:space="preserve">Chief of Surgery, Tehran Medical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Surgical Techniques in Tehran</dc:title>
  <dc:creator/>
  <dc:language>en</dc:language>
  <cp:keywords/>
  <dcterms:created xsi:type="dcterms:W3CDTF">2026-10-10T00:29:39Z</dcterms:created>
  <dcterms:modified xsi:type="dcterms:W3CDTF">2026-10-10T00:29:39Z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