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8f0e80bd309f999ca04c7e9c8878de50ce3005"/>
    <w:p>
      <w:pPr>
        <w:pStyle w:val="Heading1"/>
      </w:pPr>
      <w:r>
        <w:t xml:space="preserve">Experiment Protocol: Advanced Surgical Techniques in Malaysia Kuala Lumpur</w:t>
      </w:r>
    </w:p>
    <w:p>
      <w:pPr>
        <w:pStyle w:val="FirstParagraph"/>
      </w:pPr>
      <w:r>
        <w:rPr>
          <w:bCs/>
          <w:b/>
        </w:rPr>
        <w:t xml:space="preserve">Document ID:</w:t>
      </w:r>
      <w:r>
        <w:t xml:space="preserve"> </w:t>
      </w:r>
      <w:r>
        <w:t xml:space="preserve">EP-SURGEON-KL-2023-001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bookmarkEnd w:id="20"/>
    <w:p>
      <w:pPr>
        <w:pStyle w:val="BodyText"/>
      </w:pPr>
      <w:r>
        <w:t xml:space="preserve">1. Introduction</w:t>
      </w:r>
    </w:p>
    <w:p>
      <w:pPr>
        <w:pStyle w:val="BodyText"/>
      </w:pPr>
      <w:r>
        <w:t xml:space="preserve">This Experiment Protocol outlines the procedures and guidelines for conducting a clinical study involving advanced surgical techniques performed by a Surgeon in Malaysia Kuala Lumpur. The primary objective is to evaluate the efficacy, safety, and outcomes of novel surgical methods in a controlled environment within the healthcare facilities of Kuala Lumpur. This protocol is designed to ensure compliance with local regulations, ethical standards, and best practices in surgical research.</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effectiveness of new surgical techniques in improving patient outcomes.</w:t>
      </w:r>
    </w:p>
    <w:p>
      <w:pPr>
        <w:numPr>
          <w:ilvl w:val="0"/>
          <w:numId w:val="1001"/>
        </w:numPr>
        <w:pStyle w:val="Compact"/>
      </w:pPr>
      <w:r>
        <w:t xml:space="preserve">To evaluate the safety profile of these techniques in a diverse patient population in Malaysia Kuala Lumpur.</w:t>
      </w:r>
    </w:p>
    <w:p>
      <w:pPr>
        <w:numPr>
          <w:ilvl w:val="0"/>
          <w:numId w:val="1001"/>
        </w:numPr>
        <w:pStyle w:val="Compact"/>
      </w:pPr>
      <w:r>
        <w:t xml:space="preserve">To gather data on the learning curve and proficiency of the Surgeon in implementing these advanced methods.</w:t>
      </w:r>
    </w:p>
    <w:p>
      <w:pPr>
        <w:numPr>
          <w:ilvl w:val="0"/>
          <w:numId w:val="1001"/>
        </w:numPr>
        <w:pStyle w:val="Compact"/>
      </w:pPr>
      <w:r>
        <w:t xml:space="preserve">To contribute to the body of knowledge in surgical science and enhance healthcare practices in the region.</w:t>
      </w:r>
    </w:p>
    <w:p>
      <w:pPr>
        <w:pStyle w:val="FirstParagraph"/>
      </w:pPr>
      <w:r>
        <w:t xml:space="preserve">3. Study Design</w:t>
      </w:r>
    </w:p>
    <w:p>
      <w:pPr>
        <w:pStyle w:val="BodyText"/>
      </w:pPr>
      <w:r>
        <w:t xml:space="preserve">This study will be conducted as a prospective, randomized controlled trial (RCT) involving patients undergoing specific surgical procedures at selected hospitals in Malaysia Kuala Lumpur. The Surgeon will perform both the experimental and control procedures, ensuring consistency in surgical expertise. The study will be overseen by an independent ethics committee to ensure adherence to ethical guidelines.</w:t>
      </w:r>
    </w:p>
    <w:p>
      <w:pPr>
        <w:pStyle w:val="BodyText"/>
      </w:pPr>
      <w:r>
        <w:t xml:space="preserve">4. Participant Selection</w:t>
      </w:r>
    </w:p>
    <w:p>
      <w:pPr>
        <w:pStyle w:val="BodyText"/>
      </w:pPr>
      <w:r>
        <w:t xml:space="preserve">Participants will be selected based on predefined inclusion and exclusion criteria:</w:t>
      </w:r>
    </w:p>
    <w:p>
      <w:pPr>
        <w:numPr>
          <w:ilvl w:val="0"/>
          <w:numId w:val="1002"/>
        </w:numPr>
        <w:pStyle w:val="Compact"/>
      </w:pPr>
      <w:r>
        <w:rPr>
          <w:bCs/>
          <w:b/>
        </w:rPr>
        <w:t xml:space="preserve">Inclusion Criteria:</w:t>
      </w:r>
      <w:r>
        <w:t xml:space="preserve"> </w:t>
      </w:r>
      <w:r>
        <w:t xml:space="preserve">Patients aged 18-75 years, diagnosed with conditions requiring the specified surgical intervention, and providing informed consent.</w:t>
      </w:r>
    </w:p>
    <w:p>
      <w:pPr>
        <w:numPr>
          <w:ilvl w:val="0"/>
          <w:numId w:val="1002"/>
        </w:numPr>
        <w:pStyle w:val="Compact"/>
      </w:pPr>
      <w:r>
        <w:rPr>
          <w:bCs/>
          <w:b/>
        </w:rPr>
        <w:t xml:space="preserve">Exclusion Criteria:</w:t>
      </w:r>
      <w:r>
        <w:t xml:space="preserve"> </w:t>
      </w:r>
      <w:r>
        <w:t xml:space="preserve">Patients with severe comorbidities, previous surgeries in the same area, or those unable to comply with follow-up procedures.</w:t>
      </w:r>
    </w:p>
    <w:p>
      <w:pPr>
        <w:pStyle w:val="FirstParagraph"/>
      </w:pPr>
      <w:r>
        <w:t xml:space="preserve">Recruitment will be conducted through hospitals and clinics in Malaysia Kuala Lumpur, ensuring a representative sample of the local population.</w:t>
      </w:r>
    </w:p>
    <w:p>
      <w:pPr>
        <w:pStyle w:val="BodyText"/>
      </w:pPr>
      <w:r>
        <w:t xml:space="preserve">5. Surgical Procedures</w:t>
      </w:r>
    </w:p>
    <w:p>
      <w:pPr>
        <w:pStyle w:val="BodyText"/>
      </w:pPr>
      <w:r>
        <w:t xml:space="preserve">The Surgeon will perform the following procedures:</w:t>
      </w:r>
    </w:p>
    <w:p>
      <w:pPr>
        <w:numPr>
          <w:ilvl w:val="0"/>
          <w:numId w:val="1003"/>
        </w:numPr>
        <w:pStyle w:val="Compact"/>
      </w:pPr>
      <w:r>
        <w:rPr>
          <w:bCs/>
          <w:b/>
        </w:rPr>
        <w:t xml:space="preserve">Experimental Group:</w:t>
      </w:r>
      <w:r>
        <w:t xml:space="preserve"> </w:t>
      </w:r>
      <w:r>
        <w:t xml:space="preserve">Patients will undergo the novel surgical technique, which has been pre-approved by the ethics committee and regulatory bodies in Malaysia.</w:t>
      </w:r>
    </w:p>
    <w:p>
      <w:pPr>
        <w:numPr>
          <w:ilvl w:val="0"/>
          <w:numId w:val="1003"/>
        </w:numPr>
        <w:pStyle w:val="Compact"/>
      </w:pPr>
      <w:r>
        <w:rPr>
          <w:bCs/>
          <w:b/>
        </w:rPr>
        <w:t xml:space="preserve">Control Group:</w:t>
      </w:r>
      <w:r>
        <w:t xml:space="preserve"> </w:t>
      </w:r>
      <w:r>
        <w:t xml:space="preserve">Patients will receive the standard surgical procedure currently practiced in Malaysia Kuala Lumpur.</w:t>
      </w:r>
    </w:p>
    <w:p>
      <w:pPr>
        <w:pStyle w:val="FirstParagraph"/>
      </w:pPr>
      <w:r>
        <w:t xml:space="preserve">All procedures will be documented in detail, including operative time, complications, and immediate post-operative outcomes.</w:t>
      </w:r>
    </w:p>
    <w:p>
      <w:pPr>
        <w:pStyle w:val="BodyText"/>
      </w:pPr>
      <w:r>
        <w:t xml:space="preserve">6. Data Collection</w:t>
      </w:r>
    </w:p>
    <w:p>
      <w:pPr>
        <w:pStyle w:val="BodyText"/>
      </w:pPr>
      <w:r>
        <w:t xml:space="preserve">Data will be collected at multiple time points:</w:t>
      </w:r>
    </w:p>
    <w:p>
      <w:pPr>
        <w:numPr>
          <w:ilvl w:val="0"/>
          <w:numId w:val="1004"/>
        </w:numPr>
        <w:pStyle w:val="Compact"/>
      </w:pPr>
      <w:r>
        <w:rPr>
          <w:bCs/>
          <w:b/>
        </w:rPr>
        <w:t xml:space="preserve">Pre-operative:</w:t>
      </w:r>
      <w:r>
        <w:t xml:space="preserve"> </w:t>
      </w:r>
      <w:r>
        <w:t xml:space="preserve">Patient demographics, medical history, and baseline health status.</w:t>
      </w:r>
    </w:p>
    <w:p>
      <w:pPr>
        <w:numPr>
          <w:ilvl w:val="0"/>
          <w:numId w:val="1004"/>
        </w:numPr>
        <w:pStyle w:val="Compact"/>
      </w:pPr>
      <w:r>
        <w:rPr>
          <w:bCs/>
          <w:b/>
        </w:rPr>
        <w:t xml:space="preserve">Intra-operative:</w:t>
      </w:r>
      <w:r>
        <w:t xml:space="preserve"> </w:t>
      </w:r>
      <w:r>
        <w:t xml:space="preserve">Surgical duration, blood loss, and any intra-operative complications.</w:t>
      </w:r>
    </w:p>
    <w:p>
      <w:pPr>
        <w:numPr>
          <w:ilvl w:val="0"/>
          <w:numId w:val="1004"/>
        </w:numPr>
        <w:pStyle w:val="Compact"/>
      </w:pPr>
      <w:r>
        <w:rPr>
          <w:bCs/>
          <w:b/>
        </w:rPr>
        <w:t xml:space="preserve">Post-operative:</w:t>
      </w:r>
      <w:r>
        <w:t xml:space="preserve"> </w:t>
      </w:r>
      <w:r>
        <w:t xml:space="preserve">Recovery time, pain levels, complications, and patient satisfaction at 1 week, 1 month, 3 months, and 6 months post-surgery.</w:t>
      </w:r>
    </w:p>
    <w:p>
      <w:pPr>
        <w:pStyle w:val="FirstParagraph"/>
      </w:pPr>
      <w:r>
        <w:t xml:space="preserve">Data will be securely stored and analyzed using statistical methods appropriate for the study design.</w:t>
      </w:r>
    </w:p>
    <w:p>
      <w:pPr>
        <w:pStyle w:val="BodyText"/>
      </w:pPr>
      <w:r>
        <w:t xml:space="preserve">7. Ethical Considerations</w:t>
      </w:r>
    </w:p>
    <w:p>
      <w:pPr>
        <w:pStyle w:val="BodyText"/>
      </w:pPr>
      <w:r>
        <w:t xml:space="preserve">This Experiment Protocol adheres to the Declaration of Helsinki and local ethical guidelines in Malaysia Kuala Lumpur. Key ethical considerations include:</w:t>
      </w:r>
    </w:p>
    <w:p>
      <w:pPr>
        <w:numPr>
          <w:ilvl w:val="0"/>
          <w:numId w:val="1005"/>
        </w:numPr>
        <w:pStyle w:val="Compact"/>
      </w:pPr>
      <w:r>
        <w:t xml:space="preserve">Obtaining informed consent from all participants.</w:t>
      </w:r>
    </w:p>
    <w:p>
      <w:pPr>
        <w:numPr>
          <w:ilvl w:val="0"/>
          <w:numId w:val="1005"/>
        </w:numPr>
        <w:pStyle w:val="Compact"/>
      </w:pPr>
      <w:r>
        <w:t xml:space="preserve">Ensuring confidentiality and secure handling of patient data.</w:t>
      </w:r>
    </w:p>
    <w:p>
      <w:pPr>
        <w:numPr>
          <w:ilvl w:val="0"/>
          <w:numId w:val="1005"/>
        </w:numPr>
        <w:pStyle w:val="Compact"/>
      </w:pPr>
      <w:r>
        <w:t xml:space="preserve">Providing equal access to standard care for all participants.</w:t>
      </w:r>
    </w:p>
    <w:p>
      <w:pPr>
        <w:numPr>
          <w:ilvl w:val="0"/>
          <w:numId w:val="1005"/>
        </w:numPr>
        <w:pStyle w:val="Compact"/>
      </w:pPr>
      <w:r>
        <w:t xml:space="preserve">Monitoring for adverse events and implementing corrective measures as necessary.</w:t>
      </w:r>
    </w:p>
    <w:p>
      <w:pPr>
        <w:pStyle w:val="FirstParagraph"/>
      </w:pPr>
      <w:r>
        <w:t xml:space="preserve">8. Roles and Responsibilities</w:t>
      </w:r>
    </w:p>
    <w:p>
      <w:pPr>
        <w:pStyle w:val="BodyText"/>
      </w:pPr>
      <w:r>
        <w:t xml:space="preserve">The Surgeon will be responsible for performing the surgical procedures, documenting outcomes, and ensuring patient safety. Additional roles include:</w:t>
      </w:r>
    </w:p>
    <w:p>
      <w:pPr>
        <w:numPr>
          <w:ilvl w:val="0"/>
          <w:numId w:val="1006"/>
        </w:numPr>
        <w:pStyle w:val="Compact"/>
      </w:pPr>
      <w:r>
        <w:rPr>
          <w:bCs/>
          <w:b/>
        </w:rPr>
        <w:t xml:space="preserve">Principal Investigator:</w:t>
      </w:r>
      <w:r>
        <w:t xml:space="preserve"> </w:t>
      </w:r>
      <w:r>
        <w:t xml:space="preserve">Oversees the study and ensures compliance with the protocol.</w:t>
      </w:r>
    </w:p>
    <w:p>
      <w:pPr>
        <w:numPr>
          <w:ilvl w:val="0"/>
          <w:numId w:val="1006"/>
        </w:numPr>
        <w:pStyle w:val="Compact"/>
      </w:pPr>
      <w:r>
        <w:rPr>
          <w:bCs/>
          <w:b/>
        </w:rPr>
        <w:t xml:space="preserve">Ethics Committee:</w:t>
      </w:r>
      <w:r>
        <w:t xml:space="preserve"> </w:t>
      </w:r>
      <w:r>
        <w:t xml:space="preserve">Reviews and approves the study design and monitors ethical compliance.</w:t>
      </w:r>
    </w:p>
    <w:p>
      <w:pPr>
        <w:numPr>
          <w:ilvl w:val="0"/>
          <w:numId w:val="1006"/>
        </w:numPr>
        <w:pStyle w:val="Compact"/>
      </w:pPr>
      <w:r>
        <w:rPr>
          <w:bCs/>
          <w:b/>
        </w:rPr>
        <w:t xml:space="preserve">Data Manager:</w:t>
      </w:r>
      <w:r>
        <w:t xml:space="preserve"> </w:t>
      </w:r>
      <w:r>
        <w:t xml:space="preserve">Handles data collection, storage, and analysis.</w:t>
      </w:r>
    </w:p>
    <w:p>
      <w:pPr>
        <w:pStyle w:val="FirstParagraph"/>
      </w:pPr>
      <w:r>
        <w:t xml:space="preserve">9. Timeline</w:t>
      </w:r>
    </w:p>
    <w:p>
      <w:pPr>
        <w:pStyle w:val="BodyText"/>
      </w:pPr>
      <w:r>
        <w:t xml:space="preserve">The study will be conducted over a period of 24 months, with the following phases:</w:t>
      </w:r>
    </w:p>
    <w:p>
      <w:pPr>
        <w:numPr>
          <w:ilvl w:val="0"/>
          <w:numId w:val="1007"/>
        </w:numPr>
        <w:pStyle w:val="Compact"/>
      </w:pPr>
      <w:r>
        <w:rPr>
          <w:bCs/>
          <w:b/>
        </w:rPr>
        <w:t xml:space="preserve">Months 1-3:</w:t>
      </w:r>
      <w:r>
        <w:t xml:space="preserve"> </w:t>
      </w:r>
      <w:r>
        <w:t xml:space="preserve">Protocol approval, recruitment setup, and training.</w:t>
      </w:r>
    </w:p>
    <w:p>
      <w:pPr>
        <w:numPr>
          <w:ilvl w:val="0"/>
          <w:numId w:val="1007"/>
        </w:numPr>
        <w:pStyle w:val="Compact"/>
      </w:pPr>
      <w:r>
        <w:rPr>
          <w:bCs/>
          <w:b/>
        </w:rPr>
        <w:t xml:space="preserve">Months 4-18:</w:t>
      </w:r>
      <w:r>
        <w:t xml:space="preserve"> </w:t>
      </w:r>
      <w:r>
        <w:t xml:space="preserve">Participant recruitment and surgical procedures.</w:t>
      </w:r>
    </w:p>
    <w:p>
      <w:pPr>
        <w:numPr>
          <w:ilvl w:val="0"/>
          <w:numId w:val="1007"/>
        </w:numPr>
        <w:pStyle w:val="Compact"/>
      </w:pPr>
      <w:r>
        <w:rPr>
          <w:bCs/>
          <w:b/>
        </w:rPr>
        <w:t xml:space="preserve">Months 19-24:</w:t>
      </w:r>
      <w:r>
        <w:t xml:space="preserve"> </w:t>
      </w:r>
      <w:r>
        <w:t xml:space="preserve">Data analysis, reporting, and dissemination of results.</w:t>
      </w:r>
    </w:p>
    <w:p>
      <w:pPr>
        <w:pStyle w:val="FirstParagraph"/>
      </w:pPr>
      <w:r>
        <w:t xml:space="preserve">10. Conclusion</w:t>
      </w:r>
    </w:p>
    <w:p>
      <w:pPr>
        <w:pStyle w:val="BodyText"/>
      </w:pPr>
      <w:r>
        <w:t xml:space="preserve">This Experiment Protocol provides a comprehensive framework for conducting a clinical study on advanced surgical techniques in Malaysia Kuala Lumpur. By following this protocol, the Surgeon and research team aim to contribute valuable insights to the field of surgery, ultimately improving patient care and outcomes in the region.</w:t>
      </w:r>
    </w:p>
    <w:p>
      <w:pPr>
        <w:pStyle w:val="BodyText"/>
      </w:pPr>
      <w:r>
        <w:t xml:space="preserve">For further information, please contact the Principal Investigator at the designated research facility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Techniques in Malaysia Kuala Lumpur</dc:title>
  <dc:creator/>
  <dc:language>en</dc:language>
  <cp:keywords/>
  <dcterms:created xsi:type="dcterms:W3CDTF">2026-10-10T02:33:03Z</dcterms:created>
  <dcterms:modified xsi:type="dcterms:W3CDTF">2026-10-10T02:33:03Z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