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Framework</w:t>
      </w:r>
    </w:p>
    <w:p>
      <w:pPr>
        <w:pStyle w:val="FirstParagraph"/>
      </w:pPr>
      <w:r>
        <w:rPr>
          <w:bCs/>
          <w:b/>
        </w:rPr>
        <w:t xml:space="preserve">Document Title:</w:t>
      </w:r>
      <w:r>
        <w:t xml:space="preserve"> </w:t>
      </w:r>
      <w:r>
        <w:t xml:space="preserve">Experiment Protocol for Systems Engineer Competency Assessment</w:t>
      </w:r>
      <w:r>
        <w:br/>
      </w:r>
      <w:r>
        <w:rPr>
          <w:bCs/>
          <w:b/>
        </w:rPr>
        <w:t xml:space="preserve">Location:</w:t>
      </w:r>
      <w:r>
        <w:t xml:space="preserve"> </w:t>
      </w:r>
      <w:r>
        <w:t xml:space="preserve">Australia Sydney</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Classification:</w:t>
      </w:r>
      <w:r>
        <w:t xml:space="preserve"> </w:t>
      </w:r>
      <w:r>
        <w:t xml:space="preserve">Internal Use Only</w:t>
      </w:r>
    </w:p>
    <w:bookmarkStart w:id="31" w:name="Xebce2ca179a553d04e68359ea4a7d56727e04e9"/>
    <w:p>
      <w:pPr>
        <w:pStyle w:val="Heading1"/>
      </w:pPr>
      <w:r>
        <w:t xml:space="preserve">Experiment Protocol: Systems Engineer Operational Framework</w:t>
      </w:r>
    </w:p>
    <w:p>
      <w:pPr>
        <w:pStyle w:val="FirstParagraph"/>
      </w:pPr>
      <w:r>
        <w:t xml:space="preserve">This document outlines the comprehensive Experiment Protocol designed to evaluate the technical proficiency, strategic thinking, and operational capabilities of a Systems Engineer within the context of Australia Sydney. The protocol is structured to ensure rigorous testing of skills relevant to complex system integration, lifecycle management, and compliance with Australian standards.</w:t>
      </w:r>
    </w:p>
    <w:bookmarkStart w:id="20" w:name="objective"/>
    <w:p>
      <w:pPr>
        <w:pStyle w:val="Heading2"/>
      </w:pPr>
      <w:r>
        <w:t xml:space="preserve">1. Objective</w:t>
      </w:r>
    </w:p>
    <w:p>
      <w:pPr>
        <w:pStyle w:val="FirstParagraph"/>
      </w:pPr>
      <w:r>
        <w:t xml:space="preserve">The primary objective of this Experiment Protocol is to assess the ability of a Systems Engineer to design, analyze, and manage complex systems in alignment with industry best practices and local regulatory requirements in Australia Sydney. The experiment aims to validate the candidate's expertise in systems engineering principles, including requirements engineering, system architecture, integration, verification, and validation.</w:t>
      </w:r>
    </w:p>
    <w:bookmarkEnd w:id="20"/>
    <w:bookmarkStart w:id="21" w:name="scope"/>
    <w:p>
      <w:pPr>
        <w:pStyle w:val="Heading2"/>
      </w:pPr>
      <w:r>
        <w:t xml:space="preserve">2. Scope</w:t>
      </w:r>
    </w:p>
    <w:p>
      <w:pPr>
        <w:pStyle w:val="FirstParagraph"/>
      </w:pPr>
      <w:r>
        <w:t xml:space="preserve">This protocol applies to all Systems Engineers operating within Australia Sydney, particularly those involved in projects requiring adherence to Australian Standards (AS/NZS) and international frameworks such as ISO/IEC 15288. The scope includes:</w:t>
      </w:r>
    </w:p>
    <w:p>
      <w:pPr>
        <w:numPr>
          <w:ilvl w:val="0"/>
          <w:numId w:val="1001"/>
        </w:numPr>
        <w:pStyle w:val="Compact"/>
      </w:pPr>
      <w:r>
        <w:t xml:space="preserve">Evaluation of technical skills in system modeling and simulation.</w:t>
      </w:r>
    </w:p>
    <w:p>
      <w:pPr>
        <w:numPr>
          <w:ilvl w:val="0"/>
          <w:numId w:val="1001"/>
        </w:numPr>
        <w:pStyle w:val="Compact"/>
      </w:pPr>
      <w:r>
        <w:t xml:space="preserve">Assessment of problem-solving abilities in real-world scenarios.</w:t>
      </w:r>
    </w:p>
    <w:p>
      <w:pPr>
        <w:numPr>
          <w:ilvl w:val="0"/>
          <w:numId w:val="1001"/>
        </w:numPr>
        <w:pStyle w:val="Compact"/>
      </w:pPr>
      <w:r>
        <w:t xml:space="preserve">Verification of knowledge regarding safety, security, and sustainability standards.</w:t>
      </w:r>
    </w:p>
    <w:p>
      <w:pPr>
        <w:numPr>
          <w:ilvl w:val="0"/>
          <w:numId w:val="1001"/>
        </w:numPr>
        <w:pStyle w:val="Compact"/>
      </w:pPr>
      <w:r>
        <w:t xml:space="preserve">Analysis of communication and collaboration skills within multidisciplinary teams.</w:t>
      </w:r>
    </w:p>
    <w:bookmarkEnd w:id="21"/>
    <w:bookmarkStart w:id="25" w:name="methodology"/>
    <w:p>
      <w:pPr>
        <w:pStyle w:val="Heading2"/>
      </w:pPr>
      <w:r>
        <w:t xml:space="preserve">3. Methodology</w:t>
      </w:r>
    </w:p>
    <w:p>
      <w:pPr>
        <w:pStyle w:val="FirstParagraph"/>
      </w:pPr>
      <w:r>
        <w:t xml:space="preserve">The Experiment Protocol employs a mixed-methods approach, combining theoretical assessments, practical exercises, and scenario-based evaluations. The methodology is divided into three phases:</w:t>
      </w:r>
    </w:p>
    <w:bookmarkStart w:id="22" w:name="phase-1-theoretical-assessment"/>
    <w:p>
      <w:pPr>
        <w:pStyle w:val="Heading3"/>
      </w:pPr>
      <w:r>
        <w:t xml:space="preserve">Phase 1: Theoretical Assessment</w:t>
      </w:r>
    </w:p>
    <w:p>
      <w:pPr>
        <w:pStyle w:val="FirstParagraph"/>
      </w:pPr>
      <w:r>
        <w:t xml:space="preserve">Candidates will complete a written examination covering fundamental concepts of systems engineering, including:</w:t>
      </w:r>
    </w:p>
    <w:p>
      <w:pPr>
        <w:numPr>
          <w:ilvl w:val="0"/>
          <w:numId w:val="1002"/>
        </w:numPr>
        <w:pStyle w:val="Compact"/>
      </w:pPr>
      <w:r>
        <w:t xml:space="preserve">Systems lifecycle management.</w:t>
      </w:r>
    </w:p>
    <w:p>
      <w:pPr>
        <w:numPr>
          <w:ilvl w:val="0"/>
          <w:numId w:val="1002"/>
        </w:numPr>
        <w:pStyle w:val="Compact"/>
      </w:pPr>
      <w:r>
        <w:t xml:space="preserve">Requirements specification and traceability.</w:t>
      </w:r>
    </w:p>
    <w:p>
      <w:pPr>
        <w:numPr>
          <w:ilvl w:val="0"/>
          <w:numId w:val="1002"/>
        </w:numPr>
        <w:pStyle w:val="Compact"/>
      </w:pPr>
      <w:r>
        <w:t xml:space="preserve">System architecture design using tools like SysML.</w:t>
      </w:r>
    </w:p>
    <w:p>
      <w:pPr>
        <w:numPr>
          <w:ilvl w:val="0"/>
          <w:numId w:val="1002"/>
        </w:numPr>
        <w:pStyle w:val="Compact"/>
      </w:pPr>
      <w:r>
        <w:t xml:space="preserve">Risk management and mitigation strategies.</w:t>
      </w:r>
    </w:p>
    <w:p>
      <w:pPr>
        <w:pStyle w:val="FirstParagraph"/>
      </w:pPr>
      <w:r>
        <w:t xml:space="preserve">The assessment will also include questions specific to Australia Sydney, such as compliance with local environmental regulations and infrastructure standards.</w:t>
      </w:r>
    </w:p>
    <w:bookmarkEnd w:id="22"/>
    <w:bookmarkStart w:id="23" w:name="phase-2-practical-exercise"/>
    <w:p>
      <w:pPr>
        <w:pStyle w:val="Heading3"/>
      </w:pPr>
      <w:r>
        <w:t xml:space="preserve">Phase 2: Practical Exercise</w:t>
      </w:r>
    </w:p>
    <w:p>
      <w:pPr>
        <w:pStyle w:val="FirstParagraph"/>
      </w:pPr>
      <w:r>
        <w:t xml:space="preserve">In this phase, candidates will be tasked with designing a system architecture for a hypothetical project relevant to Australia Sydney. For example, they may be asked to develop a smart city solution that integrates IoT devices, data analytics, and renewable energy systems. Key deliverables include:</w:t>
      </w:r>
    </w:p>
    <w:p>
      <w:pPr>
        <w:numPr>
          <w:ilvl w:val="0"/>
          <w:numId w:val="1003"/>
        </w:numPr>
        <w:pStyle w:val="Compact"/>
      </w:pPr>
      <w:r>
        <w:t xml:space="preserve">A detailed system architecture diagram.</w:t>
      </w:r>
    </w:p>
    <w:p>
      <w:pPr>
        <w:numPr>
          <w:ilvl w:val="0"/>
          <w:numId w:val="1003"/>
        </w:numPr>
        <w:pStyle w:val="Compact"/>
      </w:pPr>
      <w:r>
        <w:t xml:space="preserve">A requirements traceability matrix.</w:t>
      </w:r>
    </w:p>
    <w:p>
      <w:pPr>
        <w:numPr>
          <w:ilvl w:val="0"/>
          <w:numId w:val="1003"/>
        </w:numPr>
        <w:pStyle w:val="Compact"/>
      </w:pPr>
      <w:r>
        <w:t xml:space="preserve">A risk assessment report.</w:t>
      </w:r>
    </w:p>
    <w:p>
      <w:pPr>
        <w:numPr>
          <w:ilvl w:val="0"/>
          <w:numId w:val="1003"/>
        </w:numPr>
        <w:pStyle w:val="Compact"/>
      </w:pPr>
      <w:r>
        <w:t xml:space="preserve">A project plan outlining milestones and resource allocation.</w:t>
      </w:r>
    </w:p>
    <w:bookmarkEnd w:id="23"/>
    <w:bookmarkStart w:id="24" w:name="phase-3-scenario-based-evaluation"/>
    <w:p>
      <w:pPr>
        <w:pStyle w:val="Heading3"/>
      </w:pPr>
      <w:r>
        <w:t xml:space="preserve">Phase 3: Scenario-Based Evaluation</w:t>
      </w:r>
    </w:p>
    <w:p>
      <w:pPr>
        <w:pStyle w:val="FirstParagraph"/>
      </w:pPr>
      <w:r>
        <w:t xml:space="preserve">Candidates will participate in a simulated environment where they must address challenges typical of systems engineering projects in Australia Sydney. Scenarios may include:</w:t>
      </w:r>
    </w:p>
    <w:p>
      <w:pPr>
        <w:numPr>
          <w:ilvl w:val="0"/>
          <w:numId w:val="1004"/>
        </w:numPr>
        <w:pStyle w:val="Compact"/>
      </w:pPr>
      <w:r>
        <w:t xml:space="preserve">Managing stakeholder conflicts during system integration.</w:t>
      </w:r>
    </w:p>
    <w:p>
      <w:pPr>
        <w:numPr>
          <w:ilvl w:val="0"/>
          <w:numId w:val="1004"/>
        </w:numPr>
        <w:pStyle w:val="Compact"/>
      </w:pPr>
      <w:r>
        <w:t xml:space="preserve">Responding to unexpected system failures or security breaches.</w:t>
      </w:r>
    </w:p>
    <w:p>
      <w:pPr>
        <w:numPr>
          <w:ilvl w:val="0"/>
          <w:numId w:val="1004"/>
        </w:numPr>
        <w:pStyle w:val="Compact"/>
      </w:pPr>
      <w:r>
        <w:t xml:space="preserve">Adapting to changes in regulatory requirements.</w:t>
      </w:r>
    </w:p>
    <w:p>
      <w:pPr>
        <w:pStyle w:val="FirstParagraph"/>
      </w:pPr>
      <w:r>
        <w:t xml:space="preserve">Performance will be evaluated based on decision-making, problem-solving, and communication skills.</w:t>
      </w:r>
    </w:p>
    <w:bookmarkEnd w:id="24"/>
    <w:bookmarkEnd w:id="25"/>
    <w:bookmarkStart w:id="26" w:name="evaluation-criteria"/>
    <w:p>
      <w:pPr>
        <w:pStyle w:val="Heading2"/>
      </w:pPr>
      <w:r>
        <w:t xml:space="preserve">4. Evaluation Criteria</w:t>
      </w:r>
    </w:p>
    <w:p>
      <w:pPr>
        <w:pStyle w:val="FirstParagraph"/>
      </w:pPr>
      <w:r>
        <w:t xml:space="preserve">The following criteria will be used to assess the performance of Systems Engineers during the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Technical Proficiency</w:t>
            </w:r>
          </w:p>
        </w:tc>
        <w:tc>
          <w:tcPr/>
          <w:p>
            <w:pPr>
              <w:pStyle w:val="Compact"/>
              <w:jc w:val="left"/>
            </w:pPr>
            <w:r>
              <w:t xml:space="preserve">Demonstrated knowledge of systems engineering principles and tools.</w:t>
            </w:r>
          </w:p>
        </w:tc>
        <w:tc>
          <w:tcPr/>
          <w:p>
            <w:pPr>
              <w:pStyle w:val="Compact"/>
              <w:jc w:val="left"/>
            </w:pPr>
            <w:r>
              <w:t xml:space="preserve">30%</w:t>
            </w:r>
          </w:p>
        </w:tc>
      </w:tr>
      <w:tr>
        <w:tc>
          <w:tcPr/>
          <w:p>
            <w:pPr>
              <w:pStyle w:val="Compact"/>
              <w:jc w:val="left"/>
            </w:pPr>
            <w:r>
              <w:t xml:space="preserve">Problem-Solving</w:t>
            </w:r>
          </w:p>
        </w:tc>
        <w:tc>
          <w:tcPr/>
          <w:p>
            <w:pPr>
              <w:pStyle w:val="Compact"/>
              <w:jc w:val="left"/>
            </w:pPr>
            <w:r>
              <w:t xml:space="preserve">Ability to analyze complex problems and propose effective solutions.</w:t>
            </w:r>
          </w:p>
        </w:tc>
        <w:tc>
          <w:tcPr/>
          <w:p>
            <w:pPr>
              <w:pStyle w:val="Compact"/>
              <w:jc w:val="left"/>
            </w:pPr>
            <w:r>
              <w:t xml:space="preserve">25%</w:t>
            </w:r>
          </w:p>
        </w:tc>
      </w:tr>
      <w:tr>
        <w:tc>
          <w:tcPr/>
          <w:p>
            <w:pPr>
              <w:pStyle w:val="Compact"/>
              <w:jc w:val="left"/>
            </w:pPr>
            <w:r>
              <w:t xml:space="preserve">Compliance Awareness</w:t>
            </w:r>
          </w:p>
        </w:tc>
        <w:tc>
          <w:tcPr/>
          <w:p>
            <w:pPr>
              <w:pStyle w:val="Compact"/>
              <w:jc w:val="left"/>
            </w:pPr>
            <w:r>
              <w:t xml:space="preserve">Understanding of Australian standards and regulatory requirements.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and effectiveness in conveying technical information.</w:t>
            </w:r>
          </w:p>
        </w:tc>
        <w:tc>
          <w:tcPr/>
          <w:p>
            <w:pPr>
              <w:pStyle w:val="Compact"/>
              <w:jc w:val="left"/>
            </w:pPr>
            <w:r>
              <w:t xml:space="preserve">15%</w:t>
            </w:r>
          </w:p>
        </w:tc>
      </w:tr>
      <w:tr>
        <w:tc>
          <w:tcPr/>
          <w:p>
            <w:pPr>
              <w:pStyle w:val="Compact"/>
              <w:jc w:val="left"/>
            </w:pPr>
            <w:r>
              <w:t xml:space="preserve">Collaboration</w:t>
            </w:r>
          </w:p>
        </w:tc>
        <w:tc>
          <w:tcPr/>
          <w:p>
            <w:pPr>
              <w:pStyle w:val="Compact"/>
              <w:jc w:val="left"/>
            </w:pPr>
            <w:r>
              <w:t xml:space="preserve">Ability to work effectively within multidisciplinary teams.</w:t>
            </w:r>
          </w:p>
        </w:tc>
        <w:tc>
          <w:tcPr/>
          <w:p>
            <w:pPr>
              <w:pStyle w:val="Compact"/>
              <w:jc w:val="left"/>
            </w:pPr>
            <w:r>
              <w:t xml:space="preserve">10%</w:t>
            </w:r>
          </w:p>
        </w:tc>
      </w:tr>
    </w:tbl>
    <w:bookmarkEnd w:id="26"/>
    <w:bookmarkStart w:id="27" w:name="resources"/>
    <w:p>
      <w:pPr>
        <w:pStyle w:val="Heading2"/>
      </w:pPr>
      <w:r>
        <w:t xml:space="preserve">5. Resources</w:t>
      </w:r>
    </w:p>
    <w:p>
      <w:pPr>
        <w:pStyle w:val="FirstParagraph"/>
      </w:pPr>
      <w:r>
        <w:t xml:space="preserve">The following resources will be provided to candidates during the Experiment Protocol:</w:t>
      </w:r>
    </w:p>
    <w:p>
      <w:pPr>
        <w:numPr>
          <w:ilvl w:val="0"/>
          <w:numId w:val="1005"/>
        </w:numPr>
        <w:pStyle w:val="Compact"/>
      </w:pPr>
      <w:r>
        <w:t xml:space="preserve">Access to systems engineering software tools (e.g., MATLAB, Simulink, Enterprise Architect).</w:t>
      </w:r>
    </w:p>
    <w:p>
      <w:pPr>
        <w:numPr>
          <w:ilvl w:val="0"/>
          <w:numId w:val="1005"/>
        </w:numPr>
        <w:pStyle w:val="Compact"/>
      </w:pPr>
      <w:r>
        <w:t xml:space="preserve">Reference materials on Australian Standards and ISO/IEC 15288.</w:t>
      </w:r>
    </w:p>
    <w:p>
      <w:pPr>
        <w:numPr>
          <w:ilvl w:val="0"/>
          <w:numId w:val="1005"/>
        </w:numPr>
        <w:pStyle w:val="Compact"/>
      </w:pPr>
      <w:r>
        <w:t xml:space="preserve">Case studies of successful systems engineering projects in Australia Sydney.</w:t>
      </w:r>
    </w:p>
    <w:bookmarkEnd w:id="27"/>
    <w:bookmarkStart w:id="28" w:name="ethical-considerations"/>
    <w:p>
      <w:pPr>
        <w:pStyle w:val="Heading2"/>
      </w:pPr>
      <w:r>
        <w:t xml:space="preserve">6. Ethical Considerations</w:t>
      </w:r>
    </w:p>
    <w:p>
      <w:pPr>
        <w:pStyle w:val="FirstParagraph"/>
      </w:pPr>
      <w:r>
        <w:t xml:space="preserve">This Experiment Protocol adheres to ethical guidelines to ensure fairness, transparency, and respect for all participants. Key considerations include:</w:t>
      </w:r>
    </w:p>
    <w:p>
      <w:pPr>
        <w:numPr>
          <w:ilvl w:val="0"/>
          <w:numId w:val="1006"/>
        </w:numPr>
        <w:pStyle w:val="Compact"/>
      </w:pPr>
      <w:r>
        <w:t xml:space="preserve">Confidentiality of candidate information.</w:t>
      </w:r>
    </w:p>
    <w:p>
      <w:pPr>
        <w:numPr>
          <w:ilvl w:val="0"/>
          <w:numId w:val="1006"/>
        </w:numPr>
        <w:pStyle w:val="Compact"/>
      </w:pPr>
      <w:r>
        <w:t xml:space="preserve">Equal opportunity for all participants.</w:t>
      </w:r>
    </w:p>
    <w:p>
      <w:pPr>
        <w:numPr>
          <w:ilvl w:val="0"/>
          <w:numId w:val="1006"/>
        </w:numPr>
        <w:pStyle w:val="Compact"/>
      </w:pPr>
      <w:r>
        <w:t xml:space="preserve">Avoidance of bias in evaluation criteria and scoring.</w:t>
      </w:r>
    </w:p>
    <w:bookmarkEnd w:id="28"/>
    <w:bookmarkStart w:id="29" w:name="reporting"/>
    <w:p>
      <w:pPr>
        <w:pStyle w:val="Heading2"/>
      </w:pPr>
      <w:r>
        <w:t xml:space="preserve">7. Reporting</w:t>
      </w:r>
    </w:p>
    <w:p>
      <w:pPr>
        <w:pStyle w:val="FirstParagraph"/>
      </w:pPr>
      <w:r>
        <w:t xml:space="preserve">Upon completion of the Experiment Protocol, a detailed report will be generated for each candidate. The report will include:</w:t>
      </w:r>
    </w:p>
    <w:p>
      <w:pPr>
        <w:numPr>
          <w:ilvl w:val="0"/>
          <w:numId w:val="1007"/>
        </w:numPr>
        <w:pStyle w:val="Compact"/>
      </w:pPr>
      <w:r>
        <w:t xml:space="preserve">A summary of performance across all evaluation criteria.</w:t>
      </w:r>
    </w:p>
    <w:p>
      <w:pPr>
        <w:numPr>
          <w:ilvl w:val="0"/>
          <w:numId w:val="1007"/>
        </w:numPr>
        <w:pStyle w:val="Compact"/>
      </w:pPr>
      <w:r>
        <w:t xml:space="preserve">Strengths and areas for improvement.</w:t>
      </w:r>
    </w:p>
    <w:p>
      <w:pPr>
        <w:numPr>
          <w:ilvl w:val="0"/>
          <w:numId w:val="1007"/>
        </w:numPr>
        <w:pStyle w:val="Compact"/>
      </w:pPr>
      <w:r>
        <w:t xml:space="preserve">Recommendations for professional development.</w:t>
      </w:r>
    </w:p>
    <w:p>
      <w:pPr>
        <w:pStyle w:val="FirstParagraph"/>
      </w:pPr>
      <w:r>
        <w:t xml:space="preserve">The report will be shared with the candidate and relevant stakeholders to facilitate continuous improvement and career growth.</w:t>
      </w:r>
    </w:p>
    <w:bookmarkEnd w:id="29"/>
    <w:bookmarkStart w:id="30" w:name="conclusion"/>
    <w:p>
      <w:pPr>
        <w:pStyle w:val="Heading2"/>
      </w:pPr>
      <w:r>
        <w:t xml:space="preserve">8. Conclusion</w:t>
      </w:r>
    </w:p>
    <w:p>
      <w:pPr>
        <w:pStyle w:val="FirstParagraph"/>
      </w:pPr>
      <w:r>
        <w:t xml:space="preserve">This Experiment Protocol provides a structured and comprehensive framework for assessing the capabilities of Systems Engineers in Australia Sydney. By focusing on technical proficiency, problem-solving, compliance awareness, and collaboration, the protocol ensures that only highly qualified professionals are recognized as competent in their field. This approach not only benefits individual engineers but also contributes to the overall success of systems engineering projects in the region.</w:t>
      </w:r>
    </w:p>
    <w:p>
      <w:pPr>
        <w:pStyle w:val="BodyText"/>
      </w:pPr>
      <w:r>
        <w:t xml:space="preserve">For further inquiries or clarifications regarding this Experiment Protocol, please contact the designated coordinator at [insert contact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Framework</dc:title>
  <dc:creator/>
  <dc:language>en</dc:language>
  <cp:keywords/>
  <dcterms:created xsi:type="dcterms:W3CDTF">2026-10-10T00:26:31Z</dcterms:created>
  <dcterms:modified xsi:type="dcterms:W3CDTF">2026-10-10T00:26:31Z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