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Brussels</w:t>
      </w:r>
    </w:p>
    <w:bookmarkStart w:id="20" w:name="X15a1fbe13862c7bbd962b58fb28243adeeb12a2"/>
    <w:p>
      <w:pPr>
        <w:pStyle w:val="Heading1"/>
      </w:pPr>
      <w:r>
        <w:t xml:space="preserve">Experiment Protocol: Systems Engineer Role Assessment</w:t>
      </w:r>
    </w:p>
    <w:p>
      <w:pPr>
        <w:pStyle w:val="FirstParagraph"/>
      </w:pPr>
      <w:r>
        <w:rPr>
          <w:bCs/>
          <w:b/>
        </w:rPr>
        <w:t xml:space="preserve">Location:</w:t>
      </w:r>
      <w:r>
        <w:t xml:space="preserve"> </w:t>
      </w:r>
      <w:r>
        <w:t xml:space="preserve">Brussels, Belgium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European Commission Digital Transformation Unit</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performance, adaptability, and technical proficiency of a Systems Engineer within the unique operational environment of Brussels, Belgium. As the de facto capital of the European Union, Brussels presents a complex ecosystem characterized by multilingual requirements, stringent regulatory frameworks (including GDPR), and a high density of international stakeholders.</w:t>
      </w:r>
    </w:p>
    <w:p>
      <w:pPr>
        <w:pStyle w:val="BodyText"/>
      </w:pPr>
      <w:r>
        <w:t xml:space="preserve">The primary objective of this experiment is to determine how effectively a Systems Engineer can design, implement, and maintain integrated systems that meet the diverse needs of EU institutions, private sector entities, and public services in Brussels. The protocol emphasizes the engineer's ability to navigate cross-cultural communication, adhere to European standards, and deliver robust technical solutions in a dynamic urban setting.</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Technical Competency:</w:t>
      </w:r>
      <w:r>
        <w:t xml:space="preserve"> </w:t>
      </w:r>
      <w:r>
        <w:t xml:space="preserve">Assess the Systems Engineer's ability to design scalable, secure, and interoperable systems compliant with EU regulations.</w:t>
      </w:r>
    </w:p>
    <w:p>
      <w:pPr>
        <w:numPr>
          <w:ilvl w:val="0"/>
          <w:numId w:val="1001"/>
        </w:numPr>
        <w:pStyle w:val="Compact"/>
      </w:pPr>
      <w:r>
        <w:rPr>
          <w:bCs/>
          <w:b/>
        </w:rPr>
        <w:t xml:space="preserve">Regulatory Adherence:</w:t>
      </w:r>
      <w:r>
        <w:t xml:space="preserve"> </w:t>
      </w:r>
      <w:r>
        <w:t xml:space="preserve">Evaluate the engineer's understanding and application of Belgian and EU laws, particularly regarding data protection (GDPR) and cybersecurity.</w:t>
      </w:r>
    </w:p>
    <w:p>
      <w:pPr>
        <w:numPr>
          <w:ilvl w:val="0"/>
          <w:numId w:val="1001"/>
        </w:numPr>
        <w:pStyle w:val="Compact"/>
      </w:pPr>
      <w:r>
        <w:rPr>
          <w:bCs/>
          <w:b/>
        </w:rPr>
        <w:t xml:space="preserve">Stakeholder Management:</w:t>
      </w:r>
      <w:r>
        <w:t xml:space="preserve"> </w:t>
      </w:r>
      <w:r>
        <w:t xml:space="preserve">Measure the effectiveness of communication and collaboration with multilingual and multicultural stakeholders in Brussels.</w:t>
      </w:r>
    </w:p>
    <w:p>
      <w:pPr>
        <w:numPr>
          <w:ilvl w:val="0"/>
          <w:numId w:val="1001"/>
        </w:numPr>
        <w:pStyle w:val="Compact"/>
      </w:pPr>
      <w:r>
        <w:rPr>
          <w:bCs/>
          <w:b/>
        </w:rPr>
        <w:t xml:space="preserve">Problem-Solving:</w:t>
      </w:r>
      <w:r>
        <w:t xml:space="preserve"> </w:t>
      </w:r>
      <w:r>
        <w:t xml:space="preserve">Test the engineer's capacity to resolve complex technical issues under pressure, considering the high-stakes environment of Brussels-based organizations.</w:t>
      </w:r>
    </w:p>
    <w:bookmarkEnd w:id="22"/>
    <w:bookmarkStart w:id="23" w:name="scope-and-environment"/>
    <w:p>
      <w:pPr>
        <w:pStyle w:val="Heading2"/>
      </w:pPr>
      <w:r>
        <w:t xml:space="preserve">3. Scope and Environment</w:t>
      </w:r>
    </w:p>
    <w:p>
      <w:pPr>
        <w:pStyle w:val="FirstParagraph"/>
      </w:pPr>
      <w:r>
        <w:t xml:space="preserve">The experiment will be conducted in Brussels, leveraging its unique infrastructure and organizational landscape. Key aspects of the environment include:</w:t>
      </w:r>
    </w:p>
    <w:p>
      <w:pPr>
        <w:numPr>
          <w:ilvl w:val="0"/>
          <w:numId w:val="1002"/>
        </w:numPr>
        <w:pStyle w:val="Compact"/>
      </w:pPr>
      <w:r>
        <w:rPr>
          <w:bCs/>
          <w:b/>
        </w:rPr>
        <w:t xml:space="preserve">Regulatory Framework:</w:t>
      </w:r>
      <w:r>
        <w:t xml:space="preserve"> </w:t>
      </w:r>
      <w:r>
        <w:t xml:space="preserve">Strict compliance with GDPR, NIS Directive, and Belgian data protection laws.</w:t>
      </w:r>
    </w:p>
    <w:p>
      <w:pPr>
        <w:numPr>
          <w:ilvl w:val="0"/>
          <w:numId w:val="1002"/>
        </w:numPr>
        <w:pStyle w:val="Compact"/>
      </w:pPr>
      <w:r>
        <w:rPr>
          <w:bCs/>
          <w:b/>
        </w:rPr>
        <w:t xml:space="preserve">Stakeholder Diversity:</w:t>
      </w:r>
      <w:r>
        <w:t xml:space="preserve"> </w:t>
      </w:r>
      <w:r>
        <w:t xml:space="preserve">Interaction with EU institutions, NGOs, private companies, and public agencies, requiring fluency in English and familiarity with French or Dutch.</w:t>
      </w:r>
    </w:p>
    <w:p>
      <w:pPr>
        <w:numPr>
          <w:ilvl w:val="0"/>
          <w:numId w:val="1002"/>
        </w:numPr>
        <w:pStyle w:val="Compact"/>
      </w:pPr>
      <w:r>
        <w:rPr>
          <w:bCs/>
          <w:b/>
        </w:rPr>
        <w:t xml:space="preserve">Technological Infrastructure:</w:t>
      </w:r>
      <w:r>
        <w:t xml:space="preserve"> </w:t>
      </w:r>
      <w:r>
        <w:t xml:space="preserve">Utilization of Brussels' advanced digital infrastructure, including secure government networks and cloud services.</w:t>
      </w:r>
    </w:p>
    <w:p>
      <w:pPr>
        <w:numPr>
          <w:ilvl w:val="0"/>
          <w:numId w:val="1002"/>
        </w:numPr>
        <w:pStyle w:val="Compact"/>
      </w:pPr>
      <w:r>
        <w:rPr>
          <w:bCs/>
          <w:b/>
        </w:rPr>
        <w:t xml:space="preserve">Urban Dynamics:</w:t>
      </w:r>
      <w:r>
        <w:t xml:space="preserve"> </w:t>
      </w:r>
      <w:r>
        <w:t xml:space="preserve">Consideration of Brussels' role as a hub for innovation, policy-making, and international collaboration.</w:t>
      </w:r>
    </w:p>
    <w:bookmarkEnd w:id="23"/>
    <w:bookmarkStart w:id="28" w:name="methodology"/>
    <w:p>
      <w:pPr>
        <w:pStyle w:val="Heading2"/>
      </w:pPr>
      <w:r>
        <w:t xml:space="preserve">4. Methodology</w:t>
      </w:r>
    </w:p>
    <w:p>
      <w:pPr>
        <w:pStyle w:val="FirstParagraph"/>
      </w:pPr>
      <w:r>
        <w:t xml:space="preserve">The experiment will follow a structured approach consisting of four phases:</w:t>
      </w:r>
    </w:p>
    <w:bookmarkStart w:id="24" w:name="phase-1-requirements-analysis"/>
    <w:p>
      <w:pPr>
        <w:pStyle w:val="Heading3"/>
      </w:pPr>
      <w:r>
        <w:t xml:space="preserve">4.1 Phase 1: Requirements Analysis</w:t>
      </w:r>
    </w:p>
    <w:p>
      <w:pPr>
        <w:pStyle w:val="FirstParagraph"/>
      </w:pPr>
      <w:r>
        <w:t xml:space="preserve">The Systems Engineer will conduct a thorough analysis of stakeholder needs, regulatory requirements, and technical constraints. This phase includes:</w:t>
      </w:r>
    </w:p>
    <w:p>
      <w:pPr>
        <w:numPr>
          <w:ilvl w:val="0"/>
          <w:numId w:val="1003"/>
        </w:numPr>
        <w:pStyle w:val="Compact"/>
      </w:pPr>
      <w:r>
        <w:t xml:space="preserve">Interviews with key stakeholders in Brussels-based organizations.</w:t>
      </w:r>
    </w:p>
    <w:p>
      <w:pPr>
        <w:numPr>
          <w:ilvl w:val="0"/>
          <w:numId w:val="1003"/>
        </w:numPr>
        <w:pStyle w:val="Compact"/>
      </w:pPr>
      <w:r>
        <w:t xml:space="preserve">Review of relevant EU and Belgian regulations.</w:t>
      </w:r>
    </w:p>
    <w:p>
      <w:pPr>
        <w:numPr>
          <w:ilvl w:val="0"/>
          <w:numId w:val="1003"/>
        </w:numPr>
        <w:pStyle w:val="Compact"/>
      </w:pPr>
      <w:r>
        <w:t xml:space="preserve">Documentation of system requirements, ensuring alignment with local and international standards.</w:t>
      </w:r>
    </w:p>
    <w:bookmarkEnd w:id="24"/>
    <w:bookmarkStart w:id="25" w:name="phase-2-system-design"/>
    <w:p>
      <w:pPr>
        <w:pStyle w:val="Heading3"/>
      </w:pPr>
      <w:r>
        <w:t xml:space="preserve">4.2 Phase 2: System Design</w:t>
      </w:r>
    </w:p>
    <w:p>
      <w:pPr>
        <w:pStyle w:val="FirstParagraph"/>
      </w:pPr>
      <w:r>
        <w:t xml:space="preserve">Based on the requirements, the engineer will design a system architecture that is secure, scalable, and compliant. Key activities include:</w:t>
      </w:r>
    </w:p>
    <w:p>
      <w:pPr>
        <w:numPr>
          <w:ilvl w:val="0"/>
          <w:numId w:val="1004"/>
        </w:numPr>
        <w:pStyle w:val="Compact"/>
      </w:pPr>
      <w:r>
        <w:t xml:space="preserve">Creation of detailed system diagrams and specifications.</w:t>
      </w:r>
    </w:p>
    <w:p>
      <w:pPr>
        <w:numPr>
          <w:ilvl w:val="0"/>
          <w:numId w:val="1004"/>
        </w:numPr>
        <w:pStyle w:val="Compact"/>
      </w:pPr>
      <w:r>
        <w:t xml:space="preserve">Integration of GDPR-compliant data handling mechanisms.</w:t>
      </w:r>
    </w:p>
    <w:p>
      <w:pPr>
        <w:numPr>
          <w:ilvl w:val="0"/>
          <w:numId w:val="1004"/>
        </w:numPr>
        <w:pStyle w:val="Compact"/>
      </w:pPr>
      <w:r>
        <w:t xml:space="preserve">Design of interfaces for multilingual user support.</w:t>
      </w:r>
    </w:p>
    <w:bookmarkEnd w:id="25"/>
    <w:bookmarkStart w:id="26" w:name="phase-3-implementation-and-testing"/>
    <w:p>
      <w:pPr>
        <w:pStyle w:val="Heading3"/>
      </w:pPr>
      <w:r>
        <w:t xml:space="preserve">4.3 Phase 3: Implementation and Testing</w:t>
      </w:r>
    </w:p>
    <w:p>
      <w:pPr>
        <w:pStyle w:val="FirstParagraph"/>
      </w:pPr>
      <w:r>
        <w:t xml:space="preserve">The engineer will implement the system in a controlled environment within Brussels, followed by rigorous testing. This phase involves:</w:t>
      </w:r>
    </w:p>
    <w:p>
      <w:pPr>
        <w:numPr>
          <w:ilvl w:val="0"/>
          <w:numId w:val="1005"/>
        </w:numPr>
        <w:pStyle w:val="Compact"/>
      </w:pPr>
      <w:r>
        <w:t xml:space="preserve">Deployment of the system on secure servers located in Belgium.</w:t>
      </w:r>
    </w:p>
    <w:p>
      <w:pPr>
        <w:numPr>
          <w:ilvl w:val="0"/>
          <w:numId w:val="1005"/>
        </w:numPr>
        <w:pStyle w:val="Compact"/>
      </w:pPr>
      <w:r>
        <w:t xml:space="preserve">Conducting security audits and penetration testing.</w:t>
      </w:r>
    </w:p>
    <w:p>
      <w:pPr>
        <w:numPr>
          <w:ilvl w:val="0"/>
          <w:numId w:val="1005"/>
        </w:numPr>
        <w:pStyle w:val="Compact"/>
      </w:pPr>
      <w:r>
        <w:t xml:space="preserve">Performing user acceptance testing with a diverse group of stakeholders.</w:t>
      </w:r>
    </w:p>
    <w:bookmarkEnd w:id="26"/>
    <w:bookmarkStart w:id="27" w:name="phase-4-evaluation-and-reporting"/>
    <w:p>
      <w:pPr>
        <w:pStyle w:val="Heading3"/>
      </w:pPr>
      <w:r>
        <w:t xml:space="preserve">4.4 Phase 4: Evaluation and Reporting</w:t>
      </w:r>
    </w:p>
    <w:p>
      <w:pPr>
        <w:pStyle w:val="FirstParagraph"/>
      </w:pPr>
      <w:r>
        <w:t xml:space="preserve">The final phase focuses on assessing the system's performance and the engineer's effectiveness. Metrics include:</w:t>
      </w:r>
    </w:p>
    <w:p>
      <w:pPr>
        <w:numPr>
          <w:ilvl w:val="0"/>
          <w:numId w:val="1006"/>
        </w:numPr>
        <w:pStyle w:val="Compact"/>
      </w:pPr>
      <w:r>
        <w:t xml:space="preserve">System uptime, security, and compliance with regulations.</w:t>
      </w:r>
    </w:p>
    <w:p>
      <w:pPr>
        <w:numPr>
          <w:ilvl w:val="0"/>
          <w:numId w:val="1006"/>
        </w:numPr>
        <w:pStyle w:val="Compact"/>
      </w:pPr>
      <w:r>
        <w:t xml:space="preserve">Stakeholder satisfaction and feedback.</w:t>
      </w:r>
    </w:p>
    <w:p>
      <w:pPr>
        <w:numPr>
          <w:ilvl w:val="0"/>
          <w:numId w:val="1006"/>
        </w:numPr>
        <w:pStyle w:val="Compact"/>
      </w:pPr>
      <w:r>
        <w:t xml:space="preserve">Engineer's ability to communicate and collaborate effectively.</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Design, implement, and test the system; ensure compliance with regulations; communicate with stakeholders.</w:t>
            </w:r>
          </w:p>
        </w:tc>
      </w:tr>
      <w:tr>
        <w:tc>
          <w:tcPr/>
          <w:p>
            <w:pPr>
              <w:pStyle w:val="Compact"/>
              <w:jc w:val="left"/>
            </w:pPr>
            <w:r>
              <w:t xml:space="preserve">Project Manager</w:t>
            </w:r>
          </w:p>
        </w:tc>
        <w:tc>
          <w:tcPr/>
          <w:p>
            <w:pPr>
              <w:pStyle w:val="Compact"/>
              <w:jc w:val="left"/>
            </w:pPr>
            <w:r>
              <w:t xml:space="preserve">Oversee the experiment timeline, resources, and stakeholder coordination.</w:t>
            </w:r>
          </w:p>
        </w:tc>
      </w:tr>
      <w:tr>
        <w:tc>
          <w:tcPr/>
          <w:p>
            <w:pPr>
              <w:pStyle w:val="Compact"/>
              <w:jc w:val="left"/>
            </w:pPr>
            <w:r>
              <w:t xml:space="preserve">Legal Advisor</w:t>
            </w:r>
          </w:p>
        </w:tc>
        <w:tc>
          <w:tcPr/>
          <w:p>
            <w:pPr>
              <w:pStyle w:val="Compact"/>
              <w:jc w:val="left"/>
            </w:pPr>
            <w:r>
              <w:t xml:space="preserve">Ensure adherence to Belgian and EU laws, particularly GDPR and cybersecurity regulations.</w:t>
            </w:r>
          </w:p>
        </w:tc>
      </w:tr>
      <w:tr>
        <w:tc>
          <w:tcPr/>
          <w:p>
            <w:pPr>
              <w:pStyle w:val="Compact"/>
              <w:jc w:val="left"/>
            </w:pPr>
            <w:r>
              <w:t xml:space="preserve">Stakeholders</w:t>
            </w:r>
          </w:p>
        </w:tc>
        <w:tc>
          <w:tcPr/>
          <w:p>
            <w:pPr>
              <w:pStyle w:val="Compact"/>
              <w:jc w:val="left"/>
            </w:pPr>
            <w:r>
              <w:t xml:space="preserve">Provide requirements, participate in testing, and offer feedback.</w:t>
            </w:r>
          </w:p>
        </w:tc>
      </w:tr>
    </w:tbl>
    <w:bookmarkEnd w:id="29"/>
    <w:bookmarkStart w:id="30" w:name="risk-management"/>
    <w:p>
      <w:pPr>
        <w:pStyle w:val="Heading2"/>
      </w:pPr>
      <w:r>
        <w:t xml:space="preserve">6. Risk Management</w:t>
      </w:r>
    </w:p>
    <w:p>
      <w:pPr>
        <w:pStyle w:val="FirstParagraph"/>
      </w:pPr>
      <w:r>
        <w:t xml:space="preserve">Given the sensitive nature of systems in Brussels, the following risks are identified and mitigated:</w:t>
      </w:r>
    </w:p>
    <w:p>
      <w:pPr>
        <w:numPr>
          <w:ilvl w:val="0"/>
          <w:numId w:val="1007"/>
        </w:numPr>
        <w:pStyle w:val="Compact"/>
      </w:pPr>
      <w:r>
        <w:rPr>
          <w:bCs/>
          <w:b/>
        </w:rPr>
        <w:t xml:space="preserve">Data Breach:</w:t>
      </w:r>
      <w:r>
        <w:t xml:space="preserve"> </w:t>
      </w:r>
      <w:r>
        <w:t xml:space="preserve">Mitigated through encryption, access controls, and regular security audits.</w:t>
      </w:r>
    </w:p>
    <w:p>
      <w:pPr>
        <w:numPr>
          <w:ilvl w:val="0"/>
          <w:numId w:val="1007"/>
        </w:numPr>
        <w:pStyle w:val="Compact"/>
      </w:pPr>
      <w:r>
        <w:rPr>
          <w:bCs/>
          <w:b/>
        </w:rPr>
        <w:t xml:space="preserve">Regulatory Non-Compliance:</w:t>
      </w:r>
      <w:r>
        <w:t xml:space="preserve"> </w:t>
      </w:r>
      <w:r>
        <w:t xml:space="preserve">Mitigated by involving legal advisors and conducting compliance checks.</w:t>
      </w:r>
    </w:p>
    <w:p>
      <w:pPr>
        <w:numPr>
          <w:ilvl w:val="0"/>
          <w:numId w:val="1007"/>
        </w:numPr>
        <w:pStyle w:val="Compact"/>
      </w:pPr>
      <w:r>
        <w:rPr>
          <w:bCs/>
          <w:b/>
        </w:rPr>
        <w:t xml:space="preserve">Communication Barriers:</w:t>
      </w:r>
      <w:r>
        <w:t xml:space="preserve"> </w:t>
      </w:r>
      <w:r>
        <w:t xml:space="preserve">Mitigated by using clear, standardized documentation and multilingual support.</w:t>
      </w:r>
    </w:p>
    <w:p>
      <w:pPr>
        <w:numPr>
          <w:ilvl w:val="0"/>
          <w:numId w:val="1007"/>
        </w:numPr>
        <w:pStyle w:val="Compact"/>
      </w:pPr>
      <w:r>
        <w:rPr>
          <w:bCs/>
          <w:b/>
        </w:rPr>
        <w:t xml:space="preserve">Technical Failures:</w:t>
      </w:r>
      <w:r>
        <w:t xml:space="preserve"> </w:t>
      </w:r>
      <w:r>
        <w:t xml:space="preserve">Mitigated through rigorous testing and backup systems.</w:t>
      </w:r>
    </w:p>
    <w:bookmarkEnd w:id="30"/>
    <w:bookmarkStart w:id="31" w:name="ethical-considerations"/>
    <w:p>
      <w:pPr>
        <w:pStyle w:val="Heading2"/>
      </w:pPr>
      <w:r>
        <w:t xml:space="preserve">7. Ethical Considerations</w:t>
      </w:r>
    </w:p>
    <w:p>
      <w:pPr>
        <w:pStyle w:val="FirstParagraph"/>
      </w:pPr>
      <w:r>
        <w:t xml:space="preserve">The experiment adheres to ethical standards, ensuring:</w:t>
      </w:r>
    </w:p>
    <w:p>
      <w:pPr>
        <w:numPr>
          <w:ilvl w:val="0"/>
          <w:numId w:val="1008"/>
        </w:numPr>
        <w:pStyle w:val="Compact"/>
      </w:pPr>
      <w:r>
        <w:t xml:space="preserve">Respect for privacy and data protection under GDPR.</w:t>
      </w:r>
    </w:p>
    <w:p>
      <w:pPr>
        <w:numPr>
          <w:ilvl w:val="0"/>
          <w:numId w:val="1008"/>
        </w:numPr>
        <w:pStyle w:val="Compact"/>
      </w:pPr>
      <w:r>
        <w:t xml:space="preserve">Transparency in system design and operation.</w:t>
      </w:r>
    </w:p>
    <w:p>
      <w:pPr>
        <w:numPr>
          <w:ilvl w:val="0"/>
          <w:numId w:val="1008"/>
        </w:numPr>
        <w:pStyle w:val="Compact"/>
      </w:pPr>
      <w:r>
        <w:t xml:space="preserve">Inclusive engagement with diverse stakeholders.</w:t>
      </w:r>
    </w:p>
    <w:p>
      <w:pPr>
        <w:numPr>
          <w:ilvl w:val="0"/>
          <w:numId w:val="1008"/>
        </w:numPr>
        <w:pStyle w:val="Compact"/>
      </w:pPr>
      <w:r>
        <w:t xml:space="preserve">Accountability for all actions taken by the Systems Engineer.</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role of a Systems Engineer in Brussels, Belgium. By focusing on technical excellence, regulatory compliance, and effective stakeholder management, the experiment aims to produce insights that enhance the delivery of secure, efficient, and inclusive systems in one of the world's most complex and influential cities. The outcomes will contribute to best practices for systems engineering in the European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in Brussels</dc:title>
  <dc:creator/>
  <dc:language>en</dc:language>
  <cp:keywords/>
  <dcterms:created xsi:type="dcterms:W3CDTF">2026-10-10T02:37:51Z</dcterms:created>
  <dcterms:modified xsi:type="dcterms:W3CDTF">2026-10-10T02:37:51Z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