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Russia</w:t>
      </w:r>
      <w:r>
        <w:t xml:space="preserve"> </w:t>
      </w:r>
      <w:r>
        <w:t xml:space="preserve">Moscow</w:t>
      </w:r>
    </w:p>
    <w:bookmarkStart w:id="33" w:name="X568b18c5bab1c566dfc1ada91fd133742902f5e"/>
    <w:p>
      <w:pPr>
        <w:pStyle w:val="Heading1"/>
      </w:pPr>
      <w:r>
        <w:t xml:space="preserve">Experiment Protocol: Systems Engineer Operational Assessment in Russia Moscow</w:t>
      </w:r>
    </w:p>
    <w:p>
      <w:pPr>
        <w:pStyle w:val="FirstParagraph"/>
      </w:pPr>
      <w:r>
        <w:rPr>
          <w:bCs/>
          <w:b/>
        </w:rPr>
        <w:t xml:space="preserve">Protocol ID:</w:t>
      </w:r>
      <w:r>
        <w:t xml:space="preserve"> </w:t>
      </w:r>
      <w:r>
        <w:t xml:space="preserve">SE-MOW-2024-EXP-001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Moscow, Russia</w:t>
      </w:r>
    </w:p>
    <w:p>
      <w:pPr>
        <w:pStyle w:val="BodyText"/>
      </w:pPr>
      <w:r>
        <w:rPr>
          <w:bCs/>
          <w:b/>
        </w:rPr>
        <w:t xml:space="preserve">Subject:</w:t>
      </w:r>
      <w:r>
        <w:t xml:space="preserve"> </w:t>
      </w:r>
      <w:r>
        <w:t xml:space="preserve">Systems Engineer Performance and System Integration Testing</w:t>
      </w:r>
    </w:p>
    <w:p>
      <w:pPr>
        <w:pStyle w:val="BodyText"/>
      </w:pPr>
      <w:r>
        <w:rPr>
          <w:bCs/>
          <w:b/>
        </w:rPr>
        <w:t xml:space="preserve">Classification:</w:t>
      </w:r>
      <w:r>
        <w:t xml:space="preserve"> </w:t>
      </w:r>
      <w:r>
        <w:t xml:space="preserve">Internal Use Only</w:t>
      </w:r>
    </w:p>
    <w:bookmarkStart w:id="20" w:name="introduction-and-objective"/>
    <w:p>
      <w:pPr>
        <w:pStyle w:val="Heading2"/>
      </w:pPr>
      <w:r>
        <w:t xml:space="preserve">1. Introduction and Objective</w:t>
      </w:r>
    </w:p>
    <w:p>
      <w:pPr>
        <w:pStyle w:val="FirstParagraph"/>
      </w:pPr>
      <w:r>
        <w:t xml:space="preserve">This Experiment Protocol outlines the procedures, methodologies, and evaluation criteria for assessing the performance, technical proficiency, and operational effectiveness of a Systems Engineer within the specific context of infrastructure projects located in Moscow, Russia. The primary objective is to validate the Systems Engineer's ability to manage complex system integrations, adhere to local regulatory standards, and optimize operational workflows under the unique environmental and logistical conditions present in the Moscow metropolitan area.</w:t>
      </w:r>
    </w:p>
    <w:p>
      <w:pPr>
        <w:pStyle w:val="BodyText"/>
      </w:pPr>
      <w:r>
        <w:t xml:space="preserve">The experiment aims to quantify the Systems Engineer's competency in requirements engineering, architectural design, verification and validation, and risk management, ensuring alignment with both international best practices and Russian federal technical regulations.</w:t>
      </w:r>
    </w:p>
    <w:bookmarkEnd w:id="20"/>
    <w:bookmarkStart w:id="21" w:name="scope-and-context"/>
    <w:p>
      <w:pPr>
        <w:pStyle w:val="Heading2"/>
      </w:pPr>
      <w:r>
        <w:t xml:space="preserve">2. Scope and Context</w:t>
      </w:r>
    </w:p>
    <w:p>
      <w:pPr>
        <w:pStyle w:val="FirstParagraph"/>
      </w:pPr>
      <w:r>
        <w:t xml:space="preserve">The scope of this experiment is confined to the operational activities of the Systems Engineer during a simulated or live integration phase of a critical infrastructure project in Moscow. The context includes:</w:t>
      </w:r>
    </w:p>
    <w:p>
      <w:pPr>
        <w:numPr>
          <w:ilvl w:val="0"/>
          <w:numId w:val="1001"/>
        </w:numPr>
        <w:pStyle w:val="Compact"/>
      </w:pPr>
      <w:r>
        <w:rPr>
          <w:bCs/>
          <w:b/>
        </w:rPr>
        <w:t xml:space="preserve">Geographical Constraints:</w:t>
      </w:r>
      <w:r>
        <w:t xml:space="preserve"> </w:t>
      </w:r>
      <w:r>
        <w:t xml:space="preserve">Operations within Moscow city limits, considering urban density, traffic logistics, and local supply chain dynamics.</w:t>
      </w:r>
    </w:p>
    <w:p>
      <w:pPr>
        <w:numPr>
          <w:ilvl w:val="0"/>
          <w:numId w:val="1001"/>
        </w:numPr>
        <w:pStyle w:val="Compact"/>
      </w:pPr>
      <w:r>
        <w:rPr>
          <w:bCs/>
          <w:b/>
        </w:rPr>
        <w:t xml:space="preserve">Regulatory Environment:</w:t>
      </w:r>
      <w:r>
        <w:t xml:space="preserve"> </w:t>
      </w:r>
      <w:r>
        <w:t xml:space="preserve">Compliance with GOST standards and relevant Russian Federal Laws regarding technical safety and data sovereignty.</w:t>
      </w:r>
    </w:p>
    <w:p>
      <w:pPr>
        <w:numPr>
          <w:ilvl w:val="0"/>
          <w:numId w:val="1001"/>
        </w:numPr>
        <w:pStyle w:val="Compact"/>
      </w:pPr>
      <w:r>
        <w:rPr>
          <w:bCs/>
          <w:b/>
        </w:rPr>
        <w:t xml:space="preserve">Technical Environment:</w:t>
      </w:r>
      <w:r>
        <w:t xml:space="preserve"> </w:t>
      </w:r>
      <w:r>
        <w:t xml:space="preserve">Integration of hardware and software systems in a high-load, multi-vendor environment typical of Moscow's industrial sector.</w:t>
      </w:r>
    </w:p>
    <w:bookmarkEnd w:id="21"/>
    <w:bookmarkStart w:id="24" w:name="experimental-design"/>
    <w:p>
      <w:pPr>
        <w:pStyle w:val="Heading2"/>
      </w:pPr>
      <w:r>
        <w:t xml:space="preserve">3. Experimental Design</w:t>
      </w:r>
    </w:p>
    <w:bookmarkStart w:id="22" w:name="methodology"/>
    <w:p>
      <w:pPr>
        <w:pStyle w:val="Heading3"/>
      </w:pPr>
      <w:r>
        <w:t xml:space="preserve">3.1. Methodology</w:t>
      </w:r>
    </w:p>
    <w:p>
      <w:pPr>
        <w:pStyle w:val="FirstParagraph"/>
      </w:pPr>
      <w:r>
        <w:t xml:space="preserve">The experiment will utilize a mixed-methods approach, combining quantitative performance metrics with qualitative expert evaluation. The Systems Engineer will be tasked with a defined set of challenges over a period of 14 days. These challenges will mirror real-world scenarios encountered in Moscow-based engineering projects.</w:t>
      </w:r>
    </w:p>
    <w:bookmarkEnd w:id="22"/>
    <w:bookmarkStart w:id="23" w:name="variables"/>
    <w:p>
      <w:pPr>
        <w:pStyle w:val="Heading3"/>
      </w:pPr>
      <w:r>
        <w:t xml:space="preserve">3.2.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Complexity of system requirements, availability of resources, and regulatory constraints imposed during the experiment.</w:t>
            </w:r>
          </w:p>
        </w:tc>
      </w:tr>
      <w:tr>
        <w:tc>
          <w:tcPr/>
          <w:p>
            <w:pPr>
              <w:pStyle w:val="Compact"/>
              <w:jc w:val="left"/>
            </w:pPr>
            <w:r>
              <w:t xml:space="preserve">Dependent</w:t>
            </w:r>
          </w:p>
        </w:tc>
        <w:tc>
          <w:tcPr/>
          <w:p>
            <w:pPr>
              <w:pStyle w:val="Compact"/>
              <w:jc w:val="left"/>
            </w:pPr>
            <w:r>
              <w:t xml:space="preserve">Time to solution, accuracy of system integration, adherence to GOST standards, and stakeholder satisfaction scores.</w:t>
            </w:r>
          </w:p>
        </w:tc>
      </w:tr>
      <w:tr>
        <w:tc>
          <w:tcPr/>
          <w:p>
            <w:pPr>
              <w:pStyle w:val="Compact"/>
              <w:jc w:val="left"/>
            </w:pPr>
            <w:r>
              <w:t xml:space="preserve">Controlled</w:t>
            </w:r>
          </w:p>
        </w:tc>
        <w:tc>
          <w:tcPr/>
          <w:p>
            <w:pPr>
              <w:pStyle w:val="Compact"/>
              <w:jc w:val="left"/>
            </w:pPr>
            <w:r>
              <w:t xml:space="preserve">Access to technical documentation, software tools, and communication channels with the project team.</w:t>
            </w:r>
          </w:p>
        </w:tc>
      </w:tr>
    </w:tbl>
    <w:bookmarkEnd w:id="23"/>
    <w:bookmarkEnd w:id="24"/>
    <w:bookmarkStart w:id="29" w:name="procedures"/>
    <w:p>
      <w:pPr>
        <w:pStyle w:val="Heading2"/>
      </w:pPr>
      <w:r>
        <w:t xml:space="preserve">4. Procedures</w:t>
      </w:r>
    </w:p>
    <w:bookmarkStart w:id="25" w:name="Xc457e68b1b70a5d90ec4198fbe71f1933e9a16b"/>
    <w:p>
      <w:pPr>
        <w:pStyle w:val="Heading3"/>
      </w:pPr>
      <w:r>
        <w:t xml:space="preserve">4.1. Phase 1: Requirements Analysis and Localization</w:t>
      </w:r>
    </w:p>
    <w:p>
      <w:pPr>
        <w:pStyle w:val="FirstParagraph"/>
      </w:pPr>
      <w:r>
        <w:t xml:space="preserve">The Systems Engineer must analyze a provided set of technical requirements for a new control system. A critical component of this phase is the localization of these requirements to comply with Russian technical regulations applicable in Moscow. The engineer must identify potential conflicts between international standards and local GOST norms and propose mitigation strategies.</w:t>
      </w:r>
    </w:p>
    <w:bookmarkEnd w:id="25"/>
    <w:bookmarkStart w:id="26" w:name="X0c7a3b49469d2fbde0c51ef6d272883fe3632e4"/>
    <w:p>
      <w:pPr>
        <w:pStyle w:val="Heading3"/>
      </w:pPr>
      <w:r>
        <w:t xml:space="preserve">4.2. Phase 2: Architectural Design and Simulation</w:t>
      </w:r>
    </w:p>
    <w:p>
      <w:pPr>
        <w:pStyle w:val="FirstParagraph"/>
      </w:pPr>
      <w:r>
        <w:t xml:space="preserve">Using standard modeling tools, the Systems Engineer will design the system architecture. This design must account for the specific environmental conditions of Moscow, including temperature fluctuations and power grid stability. The engineer will then run simulations to verify system robustness. Data from these simulations will be recorded for analysis.</w:t>
      </w:r>
    </w:p>
    <w:bookmarkEnd w:id="26"/>
    <w:bookmarkStart w:id="27" w:name="phase-3-integration-and-verification"/>
    <w:p>
      <w:pPr>
        <w:pStyle w:val="Heading3"/>
      </w:pPr>
      <w:r>
        <w:t xml:space="preserve">4.3. Phase 3: Integration and Verification</w:t>
      </w:r>
    </w:p>
    <w:p>
      <w:pPr>
        <w:pStyle w:val="FirstParagraph"/>
      </w:pPr>
      <w:r>
        <w:t xml:space="preserve">The engineer will oversee the integration of subsystems. This phase tests the engineer's ability to coordinate with local vendors and technical teams in Moscow. Verification activities will include interface testing, performance testing, and safety checks. Any deviations from the expected performance must be documented and resolved within a specified timeframe.</w:t>
      </w:r>
    </w:p>
    <w:bookmarkEnd w:id="27"/>
    <w:bookmarkStart w:id="28" w:name="phase-4-documentation-and-reporting"/>
    <w:p>
      <w:pPr>
        <w:pStyle w:val="Heading3"/>
      </w:pPr>
      <w:r>
        <w:t xml:space="preserve">4.4. Phase 4: Documentation and Reporting</w:t>
      </w:r>
    </w:p>
    <w:p>
      <w:pPr>
        <w:pStyle w:val="FirstParagraph"/>
      </w:pPr>
      <w:r>
        <w:t xml:space="preserve">Final deliverables include a comprehensive technical report detailing the system architecture, test results, and compliance verification. The documentation must be prepared in both English and Russian, adhering to the formatting standards required for official submission in Moscow.</w:t>
      </w:r>
    </w:p>
    <w:bookmarkEnd w:id="28"/>
    <w:bookmarkEnd w:id="29"/>
    <w:bookmarkStart w:id="30" w:name="evaluation-criteria"/>
    <w:p>
      <w:pPr>
        <w:pStyle w:val="Heading2"/>
      </w:pPr>
      <w:r>
        <w:t xml:space="preserve">5. Evaluation Criteria</w:t>
      </w:r>
    </w:p>
    <w:p>
      <w:pPr>
        <w:pStyle w:val="FirstParagraph"/>
      </w:pPr>
      <w:r>
        <w:t xml:space="preserve">The performance of the Systems Engineer will be evaluated based on the following key performance indicators (KPIs):</w:t>
      </w:r>
    </w:p>
    <w:p>
      <w:pPr>
        <w:numPr>
          <w:ilvl w:val="0"/>
          <w:numId w:val="1002"/>
        </w:numPr>
        <w:pStyle w:val="Compact"/>
      </w:pPr>
      <w:r>
        <w:rPr>
          <w:bCs/>
          <w:b/>
        </w:rPr>
        <w:t xml:space="preserve">Technical Accuracy:</w:t>
      </w:r>
      <w:r>
        <w:t xml:space="preserve"> </w:t>
      </w:r>
      <w:r>
        <w:t xml:space="preserve">Correctness of the system design and integration (Weight: 30%).</w:t>
      </w:r>
    </w:p>
    <w:p>
      <w:pPr>
        <w:numPr>
          <w:ilvl w:val="0"/>
          <w:numId w:val="1002"/>
        </w:numPr>
        <w:pStyle w:val="Compact"/>
      </w:pPr>
      <w:r>
        <w:rPr>
          <w:bCs/>
          <w:b/>
        </w:rPr>
        <w:t xml:space="preserve">Regulatory Compliance:</w:t>
      </w:r>
      <w:r>
        <w:t xml:space="preserve"> </w:t>
      </w:r>
      <w:r>
        <w:t xml:space="preserve">Adherence to GOST standards and Russian federal regulations (Weight: 25%).</w:t>
      </w:r>
    </w:p>
    <w:p>
      <w:pPr>
        <w:numPr>
          <w:ilvl w:val="0"/>
          <w:numId w:val="1002"/>
        </w:numPr>
        <w:pStyle w:val="Compact"/>
      </w:pPr>
      <w:r>
        <w:rPr>
          <w:bCs/>
          <w:b/>
        </w:rPr>
        <w:t xml:space="preserve">Efficiency:</w:t>
      </w:r>
      <w:r>
        <w:t xml:space="preserve"> </w:t>
      </w:r>
      <w:r>
        <w:t xml:space="preserve">Time taken to complete each phase of the experiment (Weight: 20%).</w:t>
      </w:r>
    </w:p>
    <w:p>
      <w:pPr>
        <w:numPr>
          <w:ilvl w:val="0"/>
          <w:numId w:val="1002"/>
        </w:numPr>
        <w:pStyle w:val="Compact"/>
      </w:pPr>
      <w:r>
        <w:rPr>
          <w:bCs/>
          <w:b/>
        </w:rPr>
        <w:t xml:space="preserve">Problem Solving:</w:t>
      </w:r>
      <w:r>
        <w:t xml:space="preserve"> </w:t>
      </w:r>
      <w:r>
        <w:t xml:space="preserve">Effectiveness in resolving unforeseen technical or logistical issues (Weight: 15%).</w:t>
      </w:r>
    </w:p>
    <w:p>
      <w:pPr>
        <w:numPr>
          <w:ilvl w:val="0"/>
          <w:numId w:val="1002"/>
        </w:numPr>
        <w:pStyle w:val="Compact"/>
      </w:pPr>
      <w:r>
        <w:rPr>
          <w:bCs/>
          <w:b/>
        </w:rPr>
        <w:t xml:space="preserve">Communication:</w:t>
      </w:r>
      <w:r>
        <w:t xml:space="preserve"> </w:t>
      </w:r>
      <w:r>
        <w:t xml:space="preserve">Clarity and professionalism in interactions with stakeholders and documentation quality (Weight: 10%).</w:t>
      </w:r>
    </w:p>
    <w:bookmarkEnd w:id="30"/>
    <w:bookmarkStart w:id="31" w:name="risk-management-and-safety"/>
    <w:p>
      <w:pPr>
        <w:pStyle w:val="Heading2"/>
      </w:pPr>
      <w:r>
        <w:t xml:space="preserve">6. Risk Management and Safety</w:t>
      </w:r>
    </w:p>
    <w:p>
      <w:pPr>
        <w:pStyle w:val="FirstParagraph"/>
      </w:pPr>
      <w:r>
        <w:t xml:space="preserve">All activities must be conducted in accordance with occupational health and safety regulations in Russia. The Systems Engineer is responsible for identifying potential risks associated with the experimental setup and implementing appropriate control measures. In the event of a safety incident, standard emergency protocols for Moscow industrial facilities must be followed immediately.</w:t>
      </w:r>
    </w:p>
    <w:bookmarkEnd w:id="31"/>
    <w:bookmarkStart w:id="32" w:name="data-handling-and-confidentiality"/>
    <w:p>
      <w:pPr>
        <w:pStyle w:val="Heading2"/>
      </w:pPr>
      <w:r>
        <w:t xml:space="preserve">7. Data Handling and Confidentiality</w:t>
      </w:r>
    </w:p>
    <w:p>
      <w:pPr>
        <w:pStyle w:val="FirstParagraph"/>
      </w:pPr>
      <w:r>
        <w:t xml:space="preserve">All data collected during this experiment is considered confidential. The Systems Engineer must ensure that all technical data and project information are stored securely and in compliance with Russian data protection laws. Unauthorized disclosure of information is strictly prohibited.</w:t>
      </w:r>
    </w:p>
    <w:bookmarkEnd w:id="32"/>
    <w:p>
      <w:pPr>
        <w:pStyle w:val="BodyText"/>
      </w:pPr>
      <w:r>
        <w:rPr>
          <w:bCs/>
          <w:b/>
        </w:rPr>
        <w:t xml:space="preserve">Lead Investigator Signature:</w:t>
      </w:r>
    </w:p>
    <w:p>
      <w:pPr>
        <w:pStyle w:val="BodyText"/>
      </w:pPr>
      <w:r>
        <w:t xml:space="preserve">Name: ________________________</w:t>
      </w:r>
    </w:p>
    <w:p>
      <w:pPr>
        <w:pStyle w:val="BodyText"/>
      </w:pPr>
      <w:r>
        <w:t xml:space="preserve">Date: ________________________</w:t>
      </w:r>
    </w:p>
    <w:p>
      <w:pPr>
        <w:pStyle w:val="BodyText"/>
      </w:pPr>
      <w:r>
        <w:rPr>
          <w:bCs/>
          <w:b/>
        </w:rPr>
        <w:t xml:space="preserve">Systems Engineer Signature:</w:t>
      </w:r>
    </w:p>
    <w:p>
      <w:pPr>
        <w:pStyle w:val="BodyText"/>
      </w:pPr>
      <w:r>
        <w:t xml:space="preserve">Name: ________________________</w:t>
      </w:r>
    </w:p>
    <w:p>
      <w:pPr>
        <w:pStyle w:val="BodyText"/>
      </w:pPr>
      <w:r>
        <w:t xml:space="preserve">Date: ________________________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Operational Assessment in Russia Moscow</dc:title>
  <dc:creator/>
  <dc:language>en</dc:language>
  <cp:keywords/>
  <dcterms:created xsi:type="dcterms:W3CDTF">2026-10-10T06:16:07Z</dcterms:created>
  <dcterms:modified xsi:type="dcterms:W3CDTF">2026-10-10T06:16:07Z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