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NYC</w:t>
      </w:r>
    </w:p>
    <w:p>
      <w:pPr>
        <w:pStyle w:val="FirstParagraph"/>
      </w:pPr>
      <w:r>
        <w:rPr>
          <w:bCs/>
          <w:b/>
        </w:rPr>
        <w:t xml:space="preserve">Document ID:</w:t>
      </w:r>
      <w:r>
        <w:t xml:space="preserve"> </w:t>
      </w:r>
      <w:r>
        <w:t xml:space="preserve">EXP-NYC-SE-2024-001</w:t>
      </w:r>
    </w:p>
    <w:p>
      <w:pPr>
        <w:pStyle w:val="BodyText"/>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Systems Engineer Operational Efficiency</w:t>
      </w:r>
    </w:p>
    <w:p>
      <w:pPr>
        <w:pStyle w:val="BodyText"/>
      </w:pPr>
      <w:r>
        <w:rPr>
          <w:bCs/>
          <w:b/>
        </w:rPr>
        <w:t xml:space="preserve">Date:</w:t>
      </w:r>
      <w:r>
        <w:t xml:space="preserve"> </w:t>
      </w:r>
      <w:r>
        <w:t xml:space="preserve">October 24, 2024</w:t>
      </w:r>
    </w:p>
    <w:bookmarkStart w:id="30" w:name="X1f47b274d438388f2c33164acaa71427e975e88"/>
    <w:p>
      <w:pPr>
        <w:pStyle w:val="Heading1"/>
      </w:pPr>
      <w:r>
        <w:t xml:space="preserve">Experiment Protocol: Systems Engineer Performance Evaluation in United States New York City</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decision-making capabilities, and technical proficiency of a Systems Engineer operating within the complex urban infrastructure of New York City, United States. The primary objective is to assess how a Systems Engineer manages large-scale, distributed systems under the unique constraints of a high-density metropolitan environment.</w:t>
      </w:r>
    </w:p>
    <w:p>
      <w:pPr>
        <w:pStyle w:val="BodyText"/>
      </w:pPr>
      <w:r>
        <w:t xml:space="preserve">New York City presents a distinct operational landscape characterized by legacy infrastructure, strict regulatory compliance requirements, and high availability demands. This protocol aims to quantify the engineer's ability to integrate modern cloud-native solutions with existing on-premise hardware while adhering to local and federal standards.</w:t>
      </w:r>
    </w:p>
    <w:bookmarkEnd w:id="20"/>
    <w:bookmarkStart w:id="21" w:name="scope-and-environment"/>
    <w:p>
      <w:pPr>
        <w:pStyle w:val="Heading2"/>
      </w:pPr>
      <w:r>
        <w:t xml:space="preserve">2. Scope and Environment</w:t>
      </w:r>
    </w:p>
    <w:p>
      <w:pPr>
        <w:pStyle w:val="FirstParagraph"/>
      </w:pPr>
      <w:r>
        <w:t xml:space="preserve">The experiment will be conducted in a simulated environment that mirrors the actual network topology of a mid-sized enterprise located in Manhattan. The scope includes:</w:t>
      </w:r>
    </w:p>
    <w:p>
      <w:pPr>
        <w:numPr>
          <w:ilvl w:val="0"/>
          <w:numId w:val="1001"/>
        </w:numPr>
        <w:pStyle w:val="Compact"/>
      </w:pPr>
      <w:r>
        <w:t xml:space="preserve">Network architecture design and optimization.</w:t>
      </w:r>
    </w:p>
    <w:p>
      <w:pPr>
        <w:numPr>
          <w:ilvl w:val="0"/>
          <w:numId w:val="1001"/>
        </w:numPr>
        <w:pStyle w:val="Compact"/>
      </w:pPr>
      <w:r>
        <w:t xml:space="preserve">Incident response and troubleshooting under pressure.</w:t>
      </w:r>
    </w:p>
    <w:p>
      <w:pPr>
        <w:numPr>
          <w:ilvl w:val="0"/>
          <w:numId w:val="1001"/>
        </w:numPr>
        <w:pStyle w:val="Compact"/>
      </w:pPr>
      <w:r>
        <w:t xml:space="preserve">Compliance verification with New York State cybersecurity regulations.</w:t>
      </w:r>
    </w:p>
    <w:p>
      <w:pPr>
        <w:numPr>
          <w:ilvl w:val="0"/>
          <w:numId w:val="1001"/>
        </w:numPr>
        <w:pStyle w:val="Compact"/>
      </w:pPr>
      <w:r>
        <w:t xml:space="preserve">Stakeholder communication and documentation.</w:t>
      </w:r>
    </w:p>
    <w:p>
      <w:pPr>
        <w:pStyle w:val="FirstParagraph"/>
      </w:pPr>
      <w:r>
        <w:t xml:space="preserve">The environment will simulate latency issues common in dense urban areas and power fluctuation scenarios relevant to the New York City grid.</w:t>
      </w:r>
    </w:p>
    <w:bookmarkEnd w:id="21"/>
    <w:bookmarkStart w:id="22" w:name="participant-profile"/>
    <w:p>
      <w:pPr>
        <w:pStyle w:val="Heading2"/>
      </w:pPr>
      <w:r>
        <w:t xml:space="preserve">3. Participant Profile</w:t>
      </w:r>
    </w:p>
    <w:p>
      <w:pPr>
        <w:pStyle w:val="FirstParagraph"/>
      </w:pPr>
      <w:r>
        <w:t xml:space="preserve">The subject of this experiment is a qualified Systems Engineer. The participant must possess:</w:t>
      </w:r>
    </w:p>
    <w:p>
      <w:pPr>
        <w:numPr>
          <w:ilvl w:val="0"/>
          <w:numId w:val="1002"/>
        </w:numPr>
        <w:pStyle w:val="Compact"/>
      </w:pPr>
      <w:r>
        <w:t xml:space="preserve">A minimum of five years of experience in systems integration.</w:t>
      </w:r>
    </w:p>
    <w:p>
      <w:pPr>
        <w:numPr>
          <w:ilvl w:val="0"/>
          <w:numId w:val="1002"/>
        </w:numPr>
        <w:pStyle w:val="Compact"/>
      </w:pPr>
      <w:r>
        <w:t xml:space="preserve">Proficiency in Linux/Unix environments and cloud platforms (AWS/Azure).</w:t>
      </w:r>
    </w:p>
    <w:p>
      <w:pPr>
        <w:numPr>
          <w:ilvl w:val="0"/>
          <w:numId w:val="1002"/>
        </w:numPr>
        <w:pStyle w:val="Compact"/>
      </w:pPr>
      <w:r>
        <w:t xml:space="preserve">Knowledge of United States federal and New York State data privacy laws.</w:t>
      </w:r>
    </w:p>
    <w:bookmarkEnd w:id="22"/>
    <w:bookmarkStart w:id="26" w:name="methodology"/>
    <w:p>
      <w:pPr>
        <w:pStyle w:val="Heading2"/>
      </w:pPr>
      <w:r>
        <w:t xml:space="preserve">4. Methodology</w:t>
      </w:r>
    </w:p>
    <w:bookmarkStart w:id="23" w:name="phase-i-system-design-and-architecture"/>
    <w:p>
      <w:pPr>
        <w:pStyle w:val="Heading3"/>
      </w:pPr>
      <w:r>
        <w:t xml:space="preserve">4.1 Phase I: System Design and Architecture</w:t>
      </w:r>
    </w:p>
    <w:p>
      <w:pPr>
        <w:pStyle w:val="FirstParagraph"/>
      </w:pPr>
      <w:r>
        <w:t xml:space="preserve">The Systems Engineer will be tasked with designing a resilient network architecture for a hypothetical financial firm in New York City. The design must account for:</w:t>
      </w:r>
    </w:p>
    <w:p>
      <w:pPr>
        <w:numPr>
          <w:ilvl w:val="0"/>
          <w:numId w:val="1003"/>
        </w:numPr>
        <w:pStyle w:val="Compact"/>
      </w:pPr>
      <w:r>
        <w:t xml:space="preserve">Redundancy to ensure 99.99% uptime.</w:t>
      </w:r>
    </w:p>
    <w:p>
      <w:pPr>
        <w:numPr>
          <w:ilvl w:val="0"/>
          <w:numId w:val="1003"/>
        </w:numPr>
        <w:pStyle w:val="Compact"/>
      </w:pPr>
      <w:r>
        <w:t xml:space="preserve">Compliance with the New York Department of Financial Services (NYDFS) cybersecurity guidelines.</w:t>
      </w:r>
    </w:p>
    <w:p>
      <w:pPr>
        <w:numPr>
          <w:ilvl w:val="0"/>
          <w:numId w:val="1003"/>
        </w:numPr>
        <w:pStyle w:val="Compact"/>
      </w:pPr>
      <w:r>
        <w:t xml:space="preserve">Integration of IoT devices for building management systems.</w:t>
      </w:r>
    </w:p>
    <w:p>
      <w:pPr>
        <w:pStyle w:val="FirstParagraph"/>
      </w:pPr>
      <w:r>
        <w:t xml:space="preserve">Success metrics include architectural robustness, cost-efficiency, and adherence to regulatory standards.</w:t>
      </w:r>
    </w:p>
    <w:bookmarkEnd w:id="23"/>
    <w:bookmarkStart w:id="24" w:name="phase-ii-incident-response-simulation"/>
    <w:p>
      <w:pPr>
        <w:pStyle w:val="Heading3"/>
      </w:pPr>
      <w:r>
        <w:t xml:space="preserve">4.2 Phase II: Incident Response Simulation</w:t>
      </w:r>
    </w:p>
    <w:p>
      <w:pPr>
        <w:pStyle w:val="FirstParagraph"/>
      </w:pPr>
      <w:r>
        <w:t xml:space="preserve">A simulated Distributed Denial of Service (DDoS) attack will be initiated against the Systems Engineer's managed environment. The engineer must:</w:t>
      </w:r>
    </w:p>
    <w:p>
      <w:pPr>
        <w:numPr>
          <w:ilvl w:val="0"/>
          <w:numId w:val="1004"/>
        </w:numPr>
        <w:pStyle w:val="Compact"/>
      </w:pPr>
      <w:r>
        <w:t xml:space="preserve">Detect the anomaly within 15 minutes.</w:t>
      </w:r>
    </w:p>
    <w:p>
      <w:pPr>
        <w:numPr>
          <w:ilvl w:val="0"/>
          <w:numId w:val="1004"/>
        </w:numPr>
        <w:pStyle w:val="Compact"/>
      </w:pPr>
      <w:r>
        <w:t xml:space="preserve">Implement mitigation strategies without disrupting legitimate traffic.</w:t>
      </w:r>
    </w:p>
    <w:p>
      <w:pPr>
        <w:numPr>
          <w:ilvl w:val="0"/>
          <w:numId w:val="1004"/>
        </w:numPr>
        <w:pStyle w:val="Compact"/>
      </w:pPr>
      <w:r>
        <w:t xml:space="preserve">Communicate the incident status to stakeholders in real-time.</w:t>
      </w:r>
    </w:p>
    <w:p>
      <w:pPr>
        <w:pStyle w:val="FirstParagraph"/>
      </w:pPr>
      <w:r>
        <w:t xml:space="preserve">This phase tests the engineer's ability to remain calm and effective during high-stress scenarios typical of a major metropolitan hub.</w:t>
      </w:r>
    </w:p>
    <w:bookmarkEnd w:id="24"/>
    <w:bookmarkStart w:id="25" w:name="phase-iii-compliance-and-documentation"/>
    <w:p>
      <w:pPr>
        <w:pStyle w:val="Heading3"/>
      </w:pPr>
      <w:r>
        <w:t xml:space="preserve">4.3 Phase III: Compliance and Documentation</w:t>
      </w:r>
    </w:p>
    <w:p>
      <w:pPr>
        <w:pStyle w:val="FirstParagraph"/>
      </w:pPr>
      <w:r>
        <w:t xml:space="preserve">The Systems Engineer must produce comprehensive documentation detailing the system architecture, incident response actions, and compliance measures. This documentation will be reviewed for clarity, accuracy, and alignment with United States industry standards.</w:t>
      </w:r>
    </w:p>
    <w:bookmarkEnd w:id="25"/>
    <w:bookmarkEnd w:id="26"/>
    <w:bookmarkStart w:id="27" w:name="data-collection-and-metrics"/>
    <w:p>
      <w:pPr>
        <w:pStyle w:val="Heading2"/>
      </w:pPr>
      <w:r>
        <w:t xml:space="preserve">5. Data Collection and Metrics</w:t>
      </w:r>
    </w:p>
    <w:p>
      <w:pPr>
        <w:pStyle w:val="FirstParagraph"/>
      </w:pPr>
      <w:r>
        <w:t xml:space="preserve">Data will be collected through automated logging tools and manual observation.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Time to Detect (TTD)</w:t>
            </w:r>
          </w:p>
        </w:tc>
        <w:tc>
          <w:tcPr/>
          <w:p>
            <w:pPr>
              <w:pStyle w:val="Compact"/>
              <w:jc w:val="left"/>
            </w:pPr>
            <w:r>
              <w:t xml:space="preserve">Time taken to identify the simulated incident.</w:t>
            </w:r>
          </w:p>
        </w:tc>
        <w:tc>
          <w:tcPr/>
          <w:p>
            <w:pPr>
              <w:pStyle w:val="Compact"/>
              <w:jc w:val="left"/>
            </w:pPr>
            <w:r>
              <w:t xml:space="preserve">&lt; 15 minutes</w:t>
            </w:r>
          </w:p>
        </w:tc>
      </w:tr>
      <w:tr>
        <w:tc>
          <w:tcPr/>
          <w:p>
            <w:pPr>
              <w:pStyle w:val="Compact"/>
              <w:jc w:val="left"/>
            </w:pPr>
            <w:r>
              <w:t xml:space="preserve">Time to Resolve (TTR)</w:t>
            </w:r>
          </w:p>
        </w:tc>
        <w:tc>
          <w:tcPr/>
          <w:p>
            <w:pPr>
              <w:pStyle w:val="Compact"/>
              <w:jc w:val="left"/>
            </w:pPr>
            <w:r>
              <w:t xml:space="preserve">Time taken to mitigate the incident.</w:t>
            </w:r>
          </w:p>
        </w:tc>
        <w:tc>
          <w:tcPr/>
          <w:p>
            <w:pPr>
              <w:pStyle w:val="Compact"/>
              <w:jc w:val="left"/>
            </w:pPr>
            <w:r>
              <w:t xml:space="preserve">&lt; 60 minutes</w:t>
            </w:r>
          </w:p>
        </w:tc>
      </w:tr>
      <w:tr>
        <w:tc>
          <w:tcPr/>
          <w:p>
            <w:pPr>
              <w:pStyle w:val="Compact"/>
              <w:jc w:val="left"/>
            </w:pPr>
            <w:r>
              <w:t xml:space="preserve">Compliance Score</w:t>
            </w:r>
          </w:p>
        </w:tc>
        <w:tc>
          <w:tcPr/>
          <w:p>
            <w:pPr>
              <w:pStyle w:val="Compact"/>
              <w:jc w:val="left"/>
            </w:pPr>
            <w:r>
              <w:t xml:space="preserve">Adherence to NYDFS and federal regulations.</w:t>
            </w:r>
          </w:p>
        </w:tc>
        <w:tc>
          <w:tcPr/>
          <w:p>
            <w:pPr>
              <w:pStyle w:val="Compact"/>
              <w:jc w:val="left"/>
            </w:pPr>
            <w:r>
              <w:t xml:space="preserve">100%</w:t>
            </w:r>
          </w:p>
        </w:tc>
      </w:tr>
      <w:tr>
        <w:tc>
          <w:tcPr/>
          <w:p>
            <w:pPr>
              <w:pStyle w:val="Compact"/>
              <w:jc w:val="left"/>
            </w:pPr>
            <w:r>
              <w:t xml:space="preserve">Documentation Quality</w:t>
            </w:r>
          </w:p>
        </w:tc>
        <w:tc>
          <w:tcPr/>
          <w:p>
            <w:pPr>
              <w:pStyle w:val="Compact"/>
              <w:jc w:val="left"/>
            </w:pPr>
            <w:r>
              <w:t xml:space="preserve">Clarity and completeness of technical documentation.</w:t>
            </w:r>
          </w:p>
        </w:tc>
        <w:tc>
          <w:tcPr/>
          <w:p>
            <w:pPr>
              <w:pStyle w:val="Compact"/>
              <w:jc w:val="left"/>
            </w:pPr>
            <w:r>
              <w:t xml:space="preserve">High</w:t>
            </w:r>
          </w:p>
        </w:tc>
      </w:tr>
    </w:tbl>
    <w:bookmarkEnd w:id="27"/>
    <w:bookmarkStart w:id="28" w:name="ethical-considerations-and-safety"/>
    <w:p>
      <w:pPr>
        <w:pStyle w:val="Heading2"/>
      </w:pPr>
      <w:r>
        <w:t xml:space="preserve">6. Ethical Considerations and Safety</w:t>
      </w:r>
    </w:p>
    <w:p>
      <w:pPr>
        <w:pStyle w:val="FirstParagraph"/>
      </w:pPr>
      <w:r>
        <w:t xml:space="preserve">This experiment will be conducted in a controlled, isolated environment to prevent any impact on live systems or public infrastructure in New York City. All data used in the simulation will be anonymized and synthetic. The Systems Engineer will be informed of the experiment's nature and objectives prior to commencement. Participation is voluntary, and the engineer may withdraw at any time without penalty.</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Systems Engineer in the context of New York City's unique operational challenges. By focusing on technical proficiency, regulatory compliance, and incident response, this protocol aims to ensure that systems engineers are well-prepared to manage critical infrastructure in one of the world's most demanding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NYC</dc:title>
  <dc:creator/>
  <dc:language>en</dc:language>
  <cp:keywords/>
  <dcterms:created xsi:type="dcterms:W3CDTF">2026-10-10T02:42:04Z</dcterms:created>
  <dcterms:modified xsi:type="dcterms:W3CDTF">2026-10-10T02:42:04Z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