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Netherlands</w:t>
      </w:r>
      <w:r>
        <w:t xml:space="preserve"> </w:t>
      </w:r>
      <w:r>
        <w:t xml:space="preserve">Amsterdam</w:t>
      </w:r>
    </w:p>
    <w:bookmarkStart w:id="31" w:name="experiment-protocol-tailor"/>
    <w:p>
      <w:pPr>
        <w:pStyle w:val="Heading1"/>
      </w:pPr>
      <w:r>
        <w:t xml:space="preserve">Experiment Protocol: Tailor</w:t>
      </w:r>
    </w:p>
    <w:p>
      <w:pPr>
        <w:pStyle w:val="FirstParagraph"/>
      </w:pPr>
      <w:r>
        <w:rPr>
          <w:bCs/>
          <w:b/>
        </w:rPr>
        <w:t xml:space="preserve">Location:</w:t>
      </w:r>
      <w:r>
        <w:t xml:space="preserve"> </w:t>
      </w:r>
      <w:r>
        <w:t xml:space="preserve">Netherlands Amsterdam</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Prepared by:</w:t>
      </w:r>
      <w:r>
        <w:t xml:space="preserve"> </w:t>
      </w:r>
      <w:r>
        <w:t xml:space="preserve">Research Team Amsterdam</w:t>
      </w:r>
    </w:p>
    <w:bookmarkStart w:id="20" w:name="introduction"/>
    <w:p>
      <w:pPr>
        <w:pStyle w:val="Heading2"/>
      </w:pPr>
      <w:r>
        <w:t xml:space="preserve">1. Introduction</w:t>
      </w:r>
    </w:p>
    <w:p>
      <w:pPr>
        <w:pStyle w:val="FirstParagraph"/>
      </w:pPr>
      <w:r>
        <w:t xml:space="preserve">This document outlines the Experiment Protocol for the "Tailor" initiative, designed to be implemented in the Netherlands Amsterdam region. The Tailor project aims to explore innovative approaches to personalized services, focusing on customization, user experience, and efficiency. This protocol ensures that all activities are conducted systematically, ethically, and in compliance with local regulations in Amsterdam.</w:t>
      </w:r>
    </w:p>
    <w:p>
      <w:pPr>
        <w:pStyle w:val="BodyText"/>
      </w:pPr>
      <w:r>
        <w:t xml:space="preserve">The Netherlands Amsterdam is chosen as the primary location due to its vibrant cultural diversity, advanced infrastructure, and strong emphasis on innovation and sustainability. The Tailor initiative will leverage these characteristics to test and refine its methodologies.</w:t>
      </w:r>
    </w:p>
    <w:bookmarkEnd w:id="20"/>
    <w:bookmarkStart w:id="21" w:name="objectives"/>
    <w:p>
      <w:pPr>
        <w:pStyle w:val="Heading2"/>
      </w:pPr>
      <w:r>
        <w:t xml:space="preserve">2. Objectives</w:t>
      </w:r>
    </w:p>
    <w:p>
      <w:pPr>
        <w:pStyle w:val="FirstParagraph"/>
      </w:pPr>
      <w:r>
        <w:t xml:space="preserve">The primary objectives of the Tailor experiment in Netherlands Amsterdam are:</w:t>
      </w:r>
    </w:p>
    <w:p>
      <w:pPr>
        <w:numPr>
          <w:ilvl w:val="0"/>
          <w:numId w:val="1001"/>
        </w:numPr>
        <w:pStyle w:val="Compact"/>
      </w:pPr>
      <w:r>
        <w:t xml:space="preserve">To evaluate the effectiveness of personalized service models in an urban environment.</w:t>
      </w:r>
    </w:p>
    <w:p>
      <w:pPr>
        <w:numPr>
          <w:ilvl w:val="0"/>
          <w:numId w:val="1001"/>
        </w:numPr>
        <w:pStyle w:val="Compact"/>
      </w:pPr>
      <w:r>
        <w:t xml:space="preserve">To assess user satisfaction and engagement with Tailor's customized offerings.</w:t>
      </w:r>
    </w:p>
    <w:p>
      <w:pPr>
        <w:numPr>
          <w:ilvl w:val="0"/>
          <w:numId w:val="1001"/>
        </w:numPr>
        <w:pStyle w:val="Compact"/>
      </w:pPr>
      <w:r>
        <w:t xml:space="preserve">To identify potential challenges and opportunities for scaling the Tailor model.</w:t>
      </w:r>
    </w:p>
    <w:p>
      <w:pPr>
        <w:numPr>
          <w:ilvl w:val="0"/>
          <w:numId w:val="1001"/>
        </w:numPr>
        <w:pStyle w:val="Compact"/>
      </w:pPr>
      <w:r>
        <w:t xml:space="preserve">To ensure compliance with Dutch and European regulations, particularly regarding data privacy and consumer rights.</w:t>
      </w:r>
    </w:p>
    <w:bookmarkEnd w:id="21"/>
    <w:bookmarkStart w:id="22" w:name="scope"/>
    <w:p>
      <w:pPr>
        <w:pStyle w:val="Heading2"/>
      </w:pPr>
      <w:r>
        <w:t xml:space="preserve">3. Scope</w:t>
      </w:r>
    </w:p>
    <w:p>
      <w:pPr>
        <w:pStyle w:val="FirstParagraph"/>
      </w:pPr>
      <w:r>
        <w:t xml:space="preserve">The Tailor experiment will be conducted within the Netherlands Amsterdam metropolitan area. It will involve:</w:t>
      </w:r>
    </w:p>
    <w:p>
      <w:pPr>
        <w:numPr>
          <w:ilvl w:val="0"/>
          <w:numId w:val="1002"/>
        </w:numPr>
        <w:pStyle w:val="Compact"/>
      </w:pPr>
      <w:r>
        <w:t xml:space="preserve">Target demographic: Residents and visitors of Amsterdam aged 18-65.</w:t>
      </w:r>
    </w:p>
    <w:p>
      <w:pPr>
        <w:numPr>
          <w:ilvl w:val="0"/>
          <w:numId w:val="1002"/>
        </w:numPr>
        <w:pStyle w:val="Compact"/>
      </w:pPr>
      <w:r>
        <w:t xml:space="preserve">Service focus: Personalized recommendations, tailored experiences, and adaptive interfaces.</w:t>
      </w:r>
    </w:p>
    <w:p>
      <w:pPr>
        <w:numPr>
          <w:ilvl w:val="0"/>
          <w:numId w:val="1002"/>
        </w:numPr>
        <w:pStyle w:val="Compact"/>
      </w:pPr>
      <w:r>
        <w:t xml:space="preserve">Duration: 6 months, with quarterly reviews.</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Participants will be recruited through:</w:t>
      </w:r>
    </w:p>
    <w:p>
      <w:pPr>
        <w:numPr>
          <w:ilvl w:val="0"/>
          <w:numId w:val="1003"/>
        </w:numPr>
        <w:pStyle w:val="Compact"/>
      </w:pPr>
      <w:r>
        <w:t xml:space="preserve">Online advertisements targeting Amsterdam residents.</w:t>
      </w:r>
    </w:p>
    <w:p>
      <w:pPr>
        <w:numPr>
          <w:ilvl w:val="0"/>
          <w:numId w:val="1003"/>
        </w:numPr>
        <w:pStyle w:val="Compact"/>
      </w:pPr>
      <w:r>
        <w:t xml:space="preserve">Partnerships with local businesses and community organizations.</w:t>
      </w:r>
    </w:p>
    <w:p>
      <w:pPr>
        <w:numPr>
          <w:ilvl w:val="0"/>
          <w:numId w:val="1003"/>
        </w:numPr>
        <w:pStyle w:val="Compact"/>
      </w:pPr>
      <w:r>
        <w:t xml:space="preserve">Social media campaigns highlighting the Tailor initiative.</w:t>
      </w:r>
    </w:p>
    <w:p>
      <w:pPr>
        <w:pStyle w:val="FirstParagraph"/>
      </w:pPr>
      <w:r>
        <w:t xml:space="preserve">Inclusion criteria:</w:t>
      </w:r>
    </w:p>
    <w:p>
      <w:pPr>
        <w:numPr>
          <w:ilvl w:val="0"/>
          <w:numId w:val="1004"/>
        </w:numPr>
        <w:pStyle w:val="Compact"/>
      </w:pPr>
      <w:r>
        <w:t xml:space="preserve">Age 18-65.</w:t>
      </w:r>
    </w:p>
    <w:p>
      <w:pPr>
        <w:numPr>
          <w:ilvl w:val="0"/>
          <w:numId w:val="1004"/>
        </w:numPr>
        <w:pStyle w:val="Compact"/>
      </w:pPr>
      <w:r>
        <w:t xml:space="preserve">Resident or frequent visitor of Amsterdam.</w:t>
      </w:r>
    </w:p>
    <w:p>
      <w:pPr>
        <w:numPr>
          <w:ilvl w:val="0"/>
          <w:numId w:val="1004"/>
        </w:numPr>
        <w:pStyle w:val="Compact"/>
      </w:pPr>
      <w:r>
        <w:t xml:space="preserve">Willingness to provide informed consent.</w:t>
      </w:r>
    </w:p>
    <w:p>
      <w:pPr>
        <w:pStyle w:val="FirstParagraph"/>
      </w:pPr>
      <w:r>
        <w:t xml:space="preserve">Exclusion criteria:</w:t>
      </w:r>
    </w:p>
    <w:p>
      <w:pPr>
        <w:numPr>
          <w:ilvl w:val="0"/>
          <w:numId w:val="1005"/>
        </w:numPr>
        <w:pStyle w:val="Compact"/>
      </w:pPr>
      <w:r>
        <w:t xml:space="preserve">Individuals with cognitive impairments that may affect their ability to participate.</w:t>
      </w:r>
    </w:p>
    <w:p>
      <w:pPr>
        <w:numPr>
          <w:ilvl w:val="0"/>
          <w:numId w:val="1005"/>
        </w:numPr>
        <w:pStyle w:val="Compact"/>
      </w:pPr>
      <w:r>
        <w:t xml:space="preserve">Participants who have previously been involved in similar experiments.</w:t>
      </w:r>
    </w:p>
    <w:bookmarkEnd w:id="23"/>
    <w:bookmarkStart w:id="24" w:name="data-collection"/>
    <w:p>
      <w:pPr>
        <w:pStyle w:val="Heading3"/>
      </w:pPr>
      <w:r>
        <w:t xml:space="preserve">4.2 Data Collection</w:t>
      </w:r>
    </w:p>
    <w:p>
      <w:pPr>
        <w:pStyle w:val="FirstParagraph"/>
      </w:pPr>
      <w:r>
        <w:t xml:space="preserve">Data will be collected through:</w:t>
      </w:r>
    </w:p>
    <w:p>
      <w:pPr>
        <w:numPr>
          <w:ilvl w:val="0"/>
          <w:numId w:val="1006"/>
        </w:numPr>
        <w:pStyle w:val="Compact"/>
      </w:pPr>
      <w:r>
        <w:t xml:space="preserve">Surveys and questionnaires.</w:t>
      </w:r>
    </w:p>
    <w:p>
      <w:pPr>
        <w:numPr>
          <w:ilvl w:val="0"/>
          <w:numId w:val="1006"/>
        </w:numPr>
        <w:pStyle w:val="Compact"/>
      </w:pPr>
      <w:r>
        <w:t xml:space="preserve">User interaction logs from the Tailor platform.</w:t>
      </w:r>
    </w:p>
    <w:p>
      <w:pPr>
        <w:numPr>
          <w:ilvl w:val="0"/>
          <w:numId w:val="1006"/>
        </w:numPr>
        <w:pStyle w:val="Compact"/>
      </w:pPr>
      <w:r>
        <w:t xml:space="preserve">Interviews and focus groups.</w:t>
      </w:r>
    </w:p>
    <w:p>
      <w:pPr>
        <w:pStyle w:val="FirstParagraph"/>
      </w:pPr>
      <w:r>
        <w:t xml:space="preserve">All data collection methods will adhere to GDPR guidelines and Dutch data protection laws.</w:t>
      </w:r>
    </w:p>
    <w:bookmarkEnd w:id="24"/>
    <w:bookmarkStart w:id="25" w:name="experimental-design"/>
    <w:p>
      <w:pPr>
        <w:pStyle w:val="Heading3"/>
      </w:pPr>
      <w:r>
        <w:t xml:space="preserve">4.3 Experimental Design</w:t>
      </w:r>
    </w:p>
    <w:p>
      <w:pPr>
        <w:pStyle w:val="FirstParagraph"/>
      </w:pPr>
      <w:r>
        <w:t xml:space="preserve">The Tailor experiment will use a randomized controlled trial (RCT) design:</w:t>
      </w:r>
    </w:p>
    <w:p>
      <w:pPr>
        <w:numPr>
          <w:ilvl w:val="0"/>
          <w:numId w:val="1007"/>
        </w:numPr>
        <w:pStyle w:val="Compact"/>
      </w:pPr>
      <w:r>
        <w:t xml:space="preserve">Control group: Receives standard, non-personalized services.</w:t>
      </w:r>
    </w:p>
    <w:p>
      <w:pPr>
        <w:numPr>
          <w:ilvl w:val="0"/>
          <w:numId w:val="1007"/>
        </w:numPr>
        <w:pStyle w:val="Compact"/>
      </w:pPr>
      <w:r>
        <w:t xml:space="preserve">Experimental group: Receives Tailor's personalized services.</w:t>
      </w:r>
    </w:p>
    <w:p>
      <w:pPr>
        <w:pStyle w:val="FirstParagraph"/>
      </w:pPr>
      <w:r>
        <w:t xml:space="preserve">Key metrics will include:</w:t>
      </w:r>
    </w:p>
    <w:p>
      <w:pPr>
        <w:numPr>
          <w:ilvl w:val="0"/>
          <w:numId w:val="1008"/>
        </w:numPr>
        <w:pStyle w:val="Compact"/>
      </w:pPr>
      <w:r>
        <w:t xml:space="preserve">User satisfaction scores.</w:t>
      </w:r>
    </w:p>
    <w:p>
      <w:pPr>
        <w:numPr>
          <w:ilvl w:val="0"/>
          <w:numId w:val="1008"/>
        </w:numPr>
        <w:pStyle w:val="Compact"/>
      </w:pPr>
      <w:r>
        <w:t xml:space="preserve">Engagement levels (e.g., time spent, frequency of use).</w:t>
      </w:r>
    </w:p>
    <w:p>
      <w:pPr>
        <w:numPr>
          <w:ilvl w:val="0"/>
          <w:numId w:val="1008"/>
        </w:numPr>
        <w:pStyle w:val="Compact"/>
      </w:pPr>
      <w:r>
        <w:t xml:space="preserve">Conversion rates (if applicable).</w:t>
      </w:r>
    </w:p>
    <w:bookmarkEnd w:id="25"/>
    <w:bookmarkEnd w:id="26"/>
    <w:bookmarkStart w:id="27" w:name="ethical-considerations"/>
    <w:p>
      <w:pPr>
        <w:pStyle w:val="Heading2"/>
      </w:pPr>
      <w:r>
        <w:t xml:space="preserve">5. Ethical Considerations</w:t>
      </w:r>
    </w:p>
    <w:p>
      <w:pPr>
        <w:pStyle w:val="FirstParagraph"/>
      </w:pPr>
      <w:r>
        <w:t xml:space="preserve">The Tailor experiment in Netherlands Amsterdam will prioritize ethical standards:</w:t>
      </w:r>
    </w:p>
    <w:p>
      <w:pPr>
        <w:numPr>
          <w:ilvl w:val="0"/>
          <w:numId w:val="1009"/>
        </w:numPr>
        <w:pStyle w:val="Compact"/>
      </w:pPr>
      <w:r>
        <w:t xml:space="preserve">Informed consent will be obtained from all participants.</w:t>
      </w:r>
    </w:p>
    <w:p>
      <w:pPr>
        <w:numPr>
          <w:ilvl w:val="0"/>
          <w:numId w:val="1009"/>
        </w:numPr>
        <w:pStyle w:val="Compact"/>
      </w:pPr>
      <w:r>
        <w:t xml:space="preserve">Data privacy will be strictly maintained in accordance with GDPR.</w:t>
      </w:r>
    </w:p>
    <w:p>
      <w:pPr>
        <w:numPr>
          <w:ilvl w:val="0"/>
          <w:numId w:val="1009"/>
        </w:numPr>
        <w:pStyle w:val="Compact"/>
      </w:pPr>
      <w:r>
        <w:t xml:space="preserve">Participants will have the right to withdraw at any time without penalty.</w:t>
      </w:r>
    </w:p>
    <w:p>
      <w:pPr>
        <w:numPr>
          <w:ilvl w:val="0"/>
          <w:numId w:val="1009"/>
        </w:numPr>
        <w:pStyle w:val="Compact"/>
      </w:pPr>
      <w:r>
        <w:t xml:space="preserve">Confidentiality of participant information will be ensured.</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setup, training</w:t>
            </w:r>
          </w:p>
        </w:tc>
      </w:tr>
      <w:tr>
        <w:tc>
          <w:tcPr/>
          <w:p>
            <w:pPr>
              <w:pStyle w:val="Compact"/>
              <w:jc w:val="left"/>
            </w:pPr>
            <w:r>
              <w:t xml:space="preserve">Implementation</w:t>
            </w:r>
          </w:p>
        </w:tc>
        <w:tc>
          <w:tcPr/>
          <w:p>
            <w:pPr>
              <w:pStyle w:val="Compact"/>
              <w:jc w:val="left"/>
            </w:pPr>
            <w:r>
              <w:t xml:space="preserve">4 months</w:t>
            </w:r>
          </w:p>
        </w:tc>
        <w:tc>
          <w:tcPr/>
          <w:p>
            <w:pPr>
              <w:pStyle w:val="Compact"/>
              <w:jc w:val="left"/>
            </w:pPr>
            <w:r>
              <w:t xml:space="preserve">Data collection, monitoring</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reporting</w:t>
            </w:r>
          </w:p>
        </w:tc>
      </w:tr>
    </w:tbl>
    <w:bookmarkEnd w:id="28"/>
    <w:bookmarkStart w:id="29" w:name="risk-management"/>
    <w:p>
      <w:pPr>
        <w:pStyle w:val="Heading2"/>
      </w:pPr>
      <w:r>
        <w:t xml:space="preserve">7. Risk Management</w:t>
      </w:r>
    </w:p>
    <w:p>
      <w:pPr>
        <w:pStyle w:val="FirstParagraph"/>
      </w:pPr>
      <w:r>
        <w:t xml:space="preserve">Potential risks and mitigation strategies:</w:t>
      </w:r>
    </w:p>
    <w:p>
      <w:pPr>
        <w:numPr>
          <w:ilvl w:val="0"/>
          <w:numId w:val="1010"/>
        </w:numPr>
        <w:pStyle w:val="Compact"/>
      </w:pPr>
      <w:r>
        <w:rPr>
          <w:bCs/>
          <w:b/>
        </w:rPr>
        <w:t xml:space="preserve">Data breaches:</w:t>
      </w:r>
      <w:r>
        <w:t xml:space="preserve"> </w:t>
      </w:r>
      <w:r>
        <w:t xml:space="preserve">Implement robust cybersecurity measures.</w:t>
      </w:r>
    </w:p>
    <w:p>
      <w:pPr>
        <w:numPr>
          <w:ilvl w:val="0"/>
          <w:numId w:val="1010"/>
        </w:numPr>
        <w:pStyle w:val="Compact"/>
      </w:pPr>
      <w:r>
        <w:rPr>
          <w:bCs/>
          <w:b/>
        </w:rPr>
        <w:t xml:space="preserve">Low participation:</w:t>
      </w:r>
      <w:r>
        <w:t xml:space="preserve"> </w:t>
      </w:r>
      <w:r>
        <w:t xml:space="preserve">Enhance recruitment strategies and incentives.</w:t>
      </w:r>
    </w:p>
    <w:p>
      <w:pPr>
        <w:numPr>
          <w:ilvl w:val="0"/>
          <w:numId w:val="1010"/>
        </w:numPr>
        <w:pStyle w:val="Compact"/>
      </w:pPr>
      <w:r>
        <w:rPr>
          <w:bCs/>
          <w:b/>
        </w:rPr>
        <w:t xml:space="preserve">Technical issues:</w:t>
      </w:r>
      <w:r>
        <w:t xml:space="preserve"> </w:t>
      </w:r>
      <w:r>
        <w:t xml:space="preserve">Regular system checks and backups.</w:t>
      </w:r>
    </w:p>
    <w:bookmarkEnd w:id="29"/>
    <w:bookmarkStart w:id="30" w:name="conclusion"/>
    <w:p>
      <w:pPr>
        <w:pStyle w:val="Heading2"/>
      </w:pPr>
      <w:r>
        <w:t xml:space="preserve">8. Conclusion</w:t>
      </w:r>
    </w:p>
    <w:p>
      <w:pPr>
        <w:pStyle w:val="FirstParagraph"/>
      </w:pPr>
      <w:r>
        <w:t xml:space="preserve">This Experiment Protocol for Tailor in Netherlands Amsterdam provides a comprehensive framework for conducting the study. By adhering to this protocol, we aim to generate valuable insights into personalized service models while maintaining the highest ethical and operational standards.</w:t>
      </w:r>
    </w:p>
    <w:bookmarkEnd w:id="30"/>
    <w:p>
      <w:pPr>
        <w:pStyle w:val="BodyText"/>
      </w:pPr>
      <w:r>
        <w:t xml:space="preserve">For questions or further information, please contact the Research Team Amsterdam at research@tailor-amsterdam.nl.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Netherlands Amsterdam</dc:title>
  <dc:creator/>
  <dc:language>en</dc:language>
  <cp:keywords/>
  <dcterms:created xsi:type="dcterms:W3CDTF">2026-10-10T01:12:41Z</dcterms:created>
  <dcterms:modified xsi:type="dcterms:W3CDTF">2026-10-10T01:12:41Z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