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Testing</w:t>
      </w:r>
      <w:r>
        <w:t xml:space="preserve"> </w:t>
      </w:r>
      <w:r>
        <w:t xml:space="preserve">in</w:t>
      </w:r>
      <w:r>
        <w:t xml:space="preserve"> </w:t>
      </w:r>
      <w:r>
        <w:t xml:space="preserve">Australia</w:t>
      </w:r>
      <w:r>
        <w:t xml:space="preserve"> </w:t>
      </w:r>
      <w:r>
        <w:t xml:space="preserve">Brisbane</w:t>
      </w:r>
    </w:p>
    <w:bookmarkStart w:id="20" w:name="X0430b7261b0d6e67c2f5884aaedb746f936fccc"/>
    <w:p>
      <w:pPr>
        <w:pStyle w:val="Heading1"/>
      </w:pPr>
      <w:r>
        <w:t xml:space="preserve">Experiment Protocol: Telecommunication Engineer Field Testing in Australia Brisbane</w:t>
      </w:r>
    </w:p>
    <w:p>
      <w:pPr>
        <w:pStyle w:val="FirstParagraph"/>
      </w:pPr>
      <w:r>
        <w:rPr>
          <w:bCs/>
          <w:b/>
        </w:rPr>
        <w:t xml:space="preserve">Document ID:</w:t>
      </w:r>
      <w:r>
        <w:t xml:space="preserve"> </w:t>
      </w:r>
      <w:r>
        <w:t xml:space="preserve">TEL-BNE-EXP-2024-001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Brisbane, Queensland, Australia</w:t>
      </w:r>
    </w:p>
    <w:p>
      <w:pPr>
        <w:pStyle w:val="BodyText"/>
      </w:pPr>
      <w:r>
        <w:rPr>
          <w:bCs/>
          <w:b/>
        </w:rPr>
        <w:t xml:space="preserve">Prepared by:</w:t>
      </w:r>
      <w:r>
        <w:t xml:space="preserve"> </w:t>
      </w:r>
      <w:r>
        <w:t xml:space="preserve">Telecommunication Engineering Department</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conducting field tests and experiments related to telecommunication infrastructure in Brisbane, Australia. The primary objective is to evaluate the performance, reliability, and efficiency of new telecommunication technologies, including 5G networks, fiber-optic systems, and wireless communication protocols, within the unique environmental and regulatory conditions of Brisbane.</w:t>
      </w:r>
    </w:p>
    <w:p>
      <w:pPr>
        <w:pStyle w:val="BodyText"/>
      </w:pPr>
      <w:r>
        <w:t xml:space="preserve">Brisbane, as a major urban center in Australia, presents diverse challenges and opportunities for telecommunication engineers. These include varying terrain, high population density in certain areas, and specific regulatory requirements set by the Australian Communications and Media Authority (ACMA). This protocol ensures that all experiments are conducted systematically, ethically, and in compliance with local and national standards.</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assess the performance of new telecommunication technologies under real-world conditions in Brisbane.</w:t>
      </w:r>
    </w:p>
    <w:p>
      <w:pPr>
        <w:numPr>
          <w:ilvl w:val="0"/>
          <w:numId w:val="1001"/>
        </w:numPr>
        <w:pStyle w:val="Compact"/>
      </w:pPr>
      <w:r>
        <w:t xml:space="preserve">To identify potential issues related to signal interference, network latency, and data throughput.</w:t>
      </w:r>
    </w:p>
    <w:p>
      <w:pPr>
        <w:numPr>
          <w:ilvl w:val="0"/>
          <w:numId w:val="1001"/>
        </w:numPr>
        <w:pStyle w:val="Compact"/>
      </w:pPr>
      <w:r>
        <w:t xml:space="preserve">To ensure compliance with Australian telecommunications regulations and safety standards.</w:t>
      </w:r>
    </w:p>
    <w:p>
      <w:pPr>
        <w:numPr>
          <w:ilvl w:val="0"/>
          <w:numId w:val="1001"/>
        </w:numPr>
        <w:pStyle w:val="Compact"/>
      </w:pPr>
      <w:r>
        <w:t xml:space="preserve">To gather data that can be used to optimize network design and deployment strategies.</w:t>
      </w:r>
    </w:p>
    <w:p>
      <w:pPr>
        <w:numPr>
          <w:ilvl w:val="0"/>
          <w:numId w:val="1001"/>
        </w:numPr>
        <w:pStyle w:val="Compact"/>
      </w:pPr>
      <w:r>
        <w:t xml:space="preserve">To train and evaluate the skills of telecommunication engineers in field testing and troubleshooting.</w:t>
      </w:r>
    </w:p>
    <w:bookmarkEnd w:id="22"/>
    <w:bookmarkStart w:id="23" w:name="scope"/>
    <w:p>
      <w:pPr>
        <w:pStyle w:val="Heading2"/>
      </w:pPr>
      <w:r>
        <w:t xml:space="preserve">3. Scope</w:t>
      </w:r>
    </w:p>
    <w:p>
      <w:pPr>
        <w:pStyle w:val="FirstParagraph"/>
      </w:pPr>
      <w:r>
        <w:t xml:space="preserve">This protocol applies to all telecommunication engineers, technicians, and support staff involved in field testing and experimentation within Brisbane. It covers:</w:t>
      </w:r>
    </w:p>
    <w:p>
      <w:pPr>
        <w:numPr>
          <w:ilvl w:val="0"/>
          <w:numId w:val="1002"/>
        </w:numPr>
        <w:pStyle w:val="Compact"/>
      </w:pPr>
      <w:r>
        <w:t xml:space="preserve">Testing of wireless communication systems, including 4G LTE and 5G networks.</w:t>
      </w:r>
    </w:p>
    <w:p>
      <w:pPr>
        <w:numPr>
          <w:ilvl w:val="0"/>
          <w:numId w:val="1002"/>
        </w:numPr>
        <w:pStyle w:val="Compact"/>
      </w:pPr>
      <w:r>
        <w:t xml:space="preserve">Evaluation of fiber-optic cable installations and performance.</w:t>
      </w:r>
    </w:p>
    <w:p>
      <w:pPr>
        <w:numPr>
          <w:ilvl w:val="0"/>
          <w:numId w:val="1002"/>
        </w:numPr>
        <w:pStyle w:val="Compact"/>
      </w:pPr>
      <w:r>
        <w:t xml:space="preserve">Assessment of network security measures and protocols.</w:t>
      </w:r>
    </w:p>
    <w:p>
      <w:pPr>
        <w:numPr>
          <w:ilvl w:val="0"/>
          <w:numId w:val="1002"/>
        </w:numPr>
        <w:pStyle w:val="Compact"/>
      </w:pPr>
      <w:r>
        <w:t xml:space="preserve">Monitoring of environmental factors affecting telecommunication infrastructure.</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conducting any experiment, the following steps must be completed:</w:t>
      </w:r>
    </w:p>
    <w:p>
      <w:pPr>
        <w:numPr>
          <w:ilvl w:val="0"/>
          <w:numId w:val="1003"/>
        </w:numPr>
        <w:pStyle w:val="Compact"/>
      </w:pPr>
      <w:r>
        <w:t xml:space="preserve">Obtain necessary permits and approvals from local authorities and the ACMA.</w:t>
      </w:r>
    </w:p>
    <w:p>
      <w:pPr>
        <w:numPr>
          <w:ilvl w:val="0"/>
          <w:numId w:val="1003"/>
        </w:numPr>
        <w:pStyle w:val="Compact"/>
      </w:pPr>
      <w:r>
        <w:t xml:space="preserve">Conduct a risk assessment to identify potential hazards and implement mitigation strategies.</w:t>
      </w:r>
    </w:p>
    <w:p>
      <w:pPr>
        <w:numPr>
          <w:ilvl w:val="0"/>
          <w:numId w:val="1003"/>
        </w:numPr>
        <w:pStyle w:val="Compact"/>
      </w:pPr>
      <w:r>
        <w:t xml:space="preserve">Prepare all required equipment, including signal analyzers, spectrum analyzers, and testing devices.</w:t>
      </w:r>
    </w:p>
    <w:p>
      <w:pPr>
        <w:numPr>
          <w:ilvl w:val="0"/>
          <w:numId w:val="1003"/>
        </w:numPr>
        <w:pStyle w:val="Compact"/>
      </w:pPr>
      <w:r>
        <w:t xml:space="preserve">Brief all team members on the experiment objectives, procedures, and safety protocols.</w:t>
      </w:r>
    </w:p>
    <w:bookmarkEnd w:id="24"/>
    <w:bookmarkStart w:id="25" w:name="experiment-execution"/>
    <w:p>
      <w:pPr>
        <w:pStyle w:val="Heading3"/>
      </w:pPr>
      <w:r>
        <w:t xml:space="preserve">4.2 Experiment Execution</w:t>
      </w:r>
    </w:p>
    <w:p>
      <w:pPr>
        <w:pStyle w:val="FirstParagraph"/>
      </w:pPr>
      <w:r>
        <w:t xml:space="preserve">During the experiment, the following procedures must be followed:</w:t>
      </w:r>
    </w:p>
    <w:p>
      <w:pPr>
        <w:numPr>
          <w:ilvl w:val="0"/>
          <w:numId w:val="1004"/>
        </w:numPr>
        <w:pStyle w:val="Compact"/>
      </w:pPr>
      <w:r>
        <w:t xml:space="preserve">Set up testing equipment according to the specified configuration.</w:t>
      </w:r>
    </w:p>
    <w:p>
      <w:pPr>
        <w:numPr>
          <w:ilvl w:val="0"/>
          <w:numId w:val="1004"/>
        </w:numPr>
        <w:pStyle w:val="Compact"/>
      </w:pPr>
      <w:r>
        <w:t xml:space="preserve">Collect data on signal strength, latency, throughput, and other relevant metrics.</w:t>
      </w:r>
    </w:p>
    <w:p>
      <w:pPr>
        <w:numPr>
          <w:ilvl w:val="0"/>
          <w:numId w:val="1004"/>
        </w:numPr>
        <w:pStyle w:val="Compact"/>
      </w:pPr>
      <w:r>
        <w:t xml:space="preserve">Monitor environmental conditions, such as temperature, humidity, and weather, that may affect performance.</w:t>
      </w:r>
    </w:p>
    <w:p>
      <w:pPr>
        <w:numPr>
          <w:ilvl w:val="0"/>
          <w:numId w:val="1004"/>
        </w:numPr>
        <w:pStyle w:val="Compact"/>
      </w:pPr>
      <w:r>
        <w:t xml:space="preserve">Document any anomalies or issues encountered during the experiment.</w:t>
      </w:r>
    </w:p>
    <w:bookmarkEnd w:id="25"/>
    <w:bookmarkStart w:id="26" w:name="post-experiment-analysis"/>
    <w:p>
      <w:pPr>
        <w:pStyle w:val="Heading3"/>
      </w:pPr>
      <w:r>
        <w:t xml:space="preserve">4.3 Post-Experiment Analysis</w:t>
      </w:r>
    </w:p>
    <w:p>
      <w:pPr>
        <w:pStyle w:val="FirstParagraph"/>
      </w:pPr>
      <w:r>
        <w:t xml:space="preserve">After the experiment, the following steps must be taken:</w:t>
      </w:r>
    </w:p>
    <w:p>
      <w:pPr>
        <w:numPr>
          <w:ilvl w:val="0"/>
          <w:numId w:val="1005"/>
        </w:numPr>
        <w:pStyle w:val="Compact"/>
      </w:pPr>
      <w:r>
        <w:t xml:space="preserve">Analyze the collected data to evaluate the performance of the tested technologies.</w:t>
      </w:r>
    </w:p>
    <w:p>
      <w:pPr>
        <w:numPr>
          <w:ilvl w:val="0"/>
          <w:numId w:val="1005"/>
        </w:numPr>
        <w:pStyle w:val="Compact"/>
      </w:pPr>
      <w:r>
        <w:t xml:space="preserve">Compare results with expected outcomes and industry benchmarks.</w:t>
      </w:r>
    </w:p>
    <w:p>
      <w:pPr>
        <w:numPr>
          <w:ilvl w:val="0"/>
          <w:numId w:val="1005"/>
        </w:numPr>
        <w:pStyle w:val="Compact"/>
      </w:pPr>
      <w:r>
        <w:t xml:space="preserve">Prepare a detailed report summarizing findings, recommendations, and any required follow-up actions.</w:t>
      </w:r>
    </w:p>
    <w:p>
      <w:pPr>
        <w:numPr>
          <w:ilvl w:val="0"/>
          <w:numId w:val="1005"/>
        </w:numPr>
        <w:pStyle w:val="Compact"/>
      </w:pPr>
      <w:r>
        <w:t xml:space="preserve">Store all data and documentation securely for future reference.</w:t>
      </w:r>
    </w:p>
    <w:bookmarkEnd w:id="26"/>
    <w:bookmarkEnd w:id="27"/>
    <w:bookmarkStart w:id="28" w:name="safety-guidelines"/>
    <w:p>
      <w:pPr>
        <w:pStyle w:val="Heading2"/>
      </w:pPr>
      <w:r>
        <w:t xml:space="preserve">5. Safety Guidelines</w:t>
      </w:r>
    </w:p>
    <w:p>
      <w:pPr>
        <w:pStyle w:val="FirstParagraph"/>
      </w:pPr>
      <w:r>
        <w:t xml:space="preserve">Safety is a top priority during all experiments. The following guidelines must be strictly adhered to:</w:t>
      </w:r>
    </w:p>
    <w:p>
      <w:pPr>
        <w:numPr>
          <w:ilvl w:val="0"/>
          <w:numId w:val="1006"/>
        </w:numPr>
        <w:pStyle w:val="Compact"/>
      </w:pPr>
      <w:r>
        <w:t xml:space="preserve">Wear appropriate personal protective equipment (PPE), including helmets, gloves, and high-visibility clothing.</w:t>
      </w:r>
    </w:p>
    <w:p>
      <w:pPr>
        <w:numPr>
          <w:ilvl w:val="0"/>
          <w:numId w:val="1006"/>
        </w:numPr>
        <w:pStyle w:val="Compact"/>
      </w:pPr>
      <w:r>
        <w:t xml:space="preserve">Follow all electrical safety protocols when working with live equipment.</w:t>
      </w:r>
    </w:p>
    <w:p>
      <w:pPr>
        <w:numPr>
          <w:ilvl w:val="0"/>
          <w:numId w:val="1006"/>
        </w:numPr>
        <w:pStyle w:val="Compact"/>
      </w:pPr>
      <w:r>
        <w:t xml:space="preserve">Avoid working in adverse weather conditions, such as heavy rain or strong winds, unless absolutely necessary and with proper precautions.</w:t>
      </w:r>
    </w:p>
    <w:p>
      <w:pPr>
        <w:numPr>
          <w:ilvl w:val="0"/>
          <w:numId w:val="1006"/>
        </w:numPr>
        <w:pStyle w:val="Compact"/>
      </w:pPr>
      <w:r>
        <w:t xml:space="preserve">Ensure all team members are trained in first aid and emergency response procedures.</w:t>
      </w:r>
    </w:p>
    <w:p>
      <w:pPr>
        <w:pStyle w:val="FirstParagraph"/>
      </w:pPr>
      <w:r>
        <w:rPr>
          <w:bCs/>
          <w:b/>
        </w:rPr>
        <w:t xml:space="preserve">Note:</w:t>
      </w:r>
      <w:r>
        <w:t xml:space="preserve"> </w:t>
      </w:r>
      <w:r>
        <w:t xml:space="preserve">In the event of an emergency, immediately contact local emergency services and notify the project supervisor.</w:t>
      </w:r>
    </w:p>
    <w:bookmarkEnd w:id="28"/>
    <w:bookmarkStart w:id="29" w:name="equipment-and-tools"/>
    <w:p>
      <w:pPr>
        <w:pStyle w:val="Heading2"/>
      </w:pPr>
      <w:r>
        <w:t xml:space="preserve">6. Equipment and Tools</w:t>
      </w:r>
    </w:p>
    <w:p>
      <w:pPr>
        <w:pStyle w:val="FirstParagraph"/>
      </w:pPr>
      <w:r>
        <w:t xml:space="preserve">The following equipment and tools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Signal Analyzer</w:t>
            </w:r>
          </w:p>
        </w:tc>
        <w:tc>
          <w:tcPr/>
          <w:p>
            <w:pPr>
              <w:pStyle w:val="Compact"/>
              <w:jc w:val="left"/>
            </w:pPr>
            <w:r>
              <w:t xml:space="preserve">For measuring signal strength and quality</w:t>
            </w:r>
          </w:p>
        </w:tc>
        <w:tc>
          <w:tcPr/>
          <w:p>
            <w:pPr>
              <w:pStyle w:val="Compact"/>
              <w:jc w:val="left"/>
            </w:pPr>
            <w:r>
              <w:t xml:space="preserve">2</w:t>
            </w:r>
          </w:p>
        </w:tc>
      </w:tr>
      <w:tr>
        <w:tc>
          <w:tcPr/>
          <w:p>
            <w:pPr>
              <w:pStyle w:val="Compact"/>
              <w:jc w:val="left"/>
            </w:pPr>
            <w:r>
              <w:t xml:space="preserve">Spectrum Analyzer</w:t>
            </w:r>
          </w:p>
        </w:tc>
        <w:tc>
          <w:tcPr/>
          <w:p>
            <w:pPr>
              <w:pStyle w:val="Compact"/>
              <w:jc w:val="left"/>
            </w:pPr>
            <w:r>
              <w:t xml:space="preserve">For analyzing frequency spectrum usage</w:t>
            </w:r>
          </w:p>
        </w:tc>
        <w:tc>
          <w:tcPr/>
          <w:p>
            <w:pPr>
              <w:pStyle w:val="Compact"/>
              <w:jc w:val="left"/>
            </w:pPr>
            <w:r>
              <w:t xml:space="preserve">1</w:t>
            </w:r>
          </w:p>
        </w:tc>
      </w:tr>
      <w:tr>
        <w:tc>
          <w:tcPr/>
          <w:p>
            <w:pPr>
              <w:pStyle w:val="Compact"/>
              <w:jc w:val="left"/>
            </w:pPr>
            <w:r>
              <w:t xml:space="preserve">Network Tester</w:t>
            </w:r>
          </w:p>
        </w:tc>
        <w:tc>
          <w:tcPr/>
          <w:p>
            <w:pPr>
              <w:pStyle w:val="Compact"/>
              <w:jc w:val="left"/>
            </w:pPr>
            <w:r>
              <w:t xml:space="preserve">For evaluating network performance</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For location tracking and mapping</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Helmets, gloves, high-visibility clothing</w:t>
            </w:r>
          </w:p>
        </w:tc>
        <w:tc>
          <w:tcPr/>
          <w:p>
            <w:pPr>
              <w:pStyle w:val="Compact"/>
              <w:jc w:val="left"/>
            </w:pPr>
            <w:r>
              <w:t xml:space="preserve">As needed</w:t>
            </w:r>
          </w:p>
        </w:tc>
      </w:tr>
    </w:tbl>
    <w:bookmarkEnd w:id="29"/>
    <w:bookmarkStart w:id="30" w:name="data-management"/>
    <w:p>
      <w:pPr>
        <w:pStyle w:val="Heading2"/>
      </w:pPr>
      <w:r>
        <w:t xml:space="preserve">7. Data Management</w:t>
      </w:r>
    </w:p>
    <w:p>
      <w:pPr>
        <w:pStyle w:val="FirstParagraph"/>
      </w:pPr>
      <w:r>
        <w:t xml:space="preserve">All data collected during the experiments must be managed in accordance with the following guidelines:</w:t>
      </w:r>
    </w:p>
    <w:p>
      <w:pPr>
        <w:numPr>
          <w:ilvl w:val="0"/>
          <w:numId w:val="1007"/>
        </w:numPr>
        <w:pStyle w:val="Compact"/>
      </w:pPr>
      <w:r>
        <w:t xml:space="preserve">Data should be stored securely on encrypted devices or cloud storage solutions.</w:t>
      </w:r>
    </w:p>
    <w:p>
      <w:pPr>
        <w:numPr>
          <w:ilvl w:val="0"/>
          <w:numId w:val="1007"/>
        </w:numPr>
        <w:pStyle w:val="Compact"/>
      </w:pPr>
      <w:r>
        <w:t xml:space="preserve">Access to data should be restricted to authorized personnel only.</w:t>
      </w:r>
    </w:p>
    <w:p>
      <w:pPr>
        <w:numPr>
          <w:ilvl w:val="0"/>
          <w:numId w:val="1007"/>
        </w:numPr>
        <w:pStyle w:val="Compact"/>
      </w:pPr>
      <w:r>
        <w:t xml:space="preserve">Data should be backed up regularly to prevent loss.</w:t>
      </w:r>
    </w:p>
    <w:p>
      <w:pPr>
        <w:numPr>
          <w:ilvl w:val="0"/>
          <w:numId w:val="1007"/>
        </w:numPr>
        <w:pStyle w:val="Compact"/>
      </w:pPr>
      <w:r>
        <w:t xml:space="preserve">Data should be anonymized where necessary to protect privacy.</w:t>
      </w:r>
    </w:p>
    <w:bookmarkEnd w:id="30"/>
    <w:bookmarkStart w:id="31" w:name="compliance-and-regulations"/>
    <w:p>
      <w:pPr>
        <w:pStyle w:val="Heading2"/>
      </w:pPr>
      <w:r>
        <w:t xml:space="preserve">8. Compliance and Regulations</w:t>
      </w:r>
    </w:p>
    <w:p>
      <w:pPr>
        <w:pStyle w:val="FirstParagraph"/>
      </w:pPr>
      <w:r>
        <w:t xml:space="preserve">All experiments must comply with the following regulations and standards:</w:t>
      </w:r>
    </w:p>
    <w:p>
      <w:pPr>
        <w:numPr>
          <w:ilvl w:val="0"/>
          <w:numId w:val="1008"/>
        </w:numPr>
        <w:pStyle w:val="Compact"/>
      </w:pPr>
      <w:r>
        <w:t xml:space="preserve">Australian Communications and Media Authority (ACMA) regulations.</w:t>
      </w:r>
    </w:p>
    <w:p>
      <w:pPr>
        <w:numPr>
          <w:ilvl w:val="0"/>
          <w:numId w:val="1008"/>
        </w:numPr>
        <w:pStyle w:val="Compact"/>
      </w:pPr>
      <w:r>
        <w:t xml:space="preserve">Telecommunications Act 1997 (Cth).</w:t>
      </w:r>
    </w:p>
    <w:p>
      <w:pPr>
        <w:numPr>
          <w:ilvl w:val="0"/>
          <w:numId w:val="1008"/>
        </w:numPr>
        <w:pStyle w:val="Compact"/>
      </w:pPr>
      <w:r>
        <w:t xml:space="preserve">Work Health and Safety (WHS) regulations in Queensland.</w:t>
      </w:r>
    </w:p>
    <w:p>
      <w:pPr>
        <w:numPr>
          <w:ilvl w:val="0"/>
          <w:numId w:val="1008"/>
        </w:numPr>
        <w:pStyle w:val="Compact"/>
      </w:pPr>
      <w:r>
        <w:t xml:space="preserve">Industry standards for telecommunication equipment and practices.</w:t>
      </w:r>
    </w:p>
    <w:bookmarkEnd w:id="31"/>
    <w:bookmarkStart w:id="32" w:name="conclusion"/>
    <w:p>
      <w:pPr>
        <w:pStyle w:val="Heading2"/>
      </w:pPr>
      <w:r>
        <w:t xml:space="preserve">9. Conclusion</w:t>
      </w:r>
    </w:p>
    <w:p>
      <w:pPr>
        <w:pStyle w:val="FirstParagraph"/>
      </w:pPr>
      <w:r>
        <w:t xml:space="preserve">This Experiment Protocol provides a comprehensive framework for conducting telecommunication experiments in Brisbane, Australia. By following these guidelines, telecommunication engineers can ensure that their work is safe, efficient, and compliant with all relevant regulations. The data and insights gained from these experiments will contribute to the advancement of telecommunication technologies and the improvement of network services in Brisbane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Testing in Australia Brisbane</dc:title>
  <dc:creator/>
  <dc:language>en</dc:language>
  <cp:keywords/>
  <dcterms:created xsi:type="dcterms:W3CDTF">2026-10-10T03:05:37Z</dcterms:created>
  <dcterms:modified xsi:type="dcterms:W3CDTF">2026-10-10T03:05:37Z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