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Testing</w:t>
      </w:r>
      <w:r>
        <w:t xml:space="preserve"> </w:t>
      </w:r>
      <w:r>
        <w:t xml:space="preserve">in</w:t>
      </w:r>
      <w:r>
        <w:t xml:space="preserve"> </w:t>
      </w:r>
      <w:r>
        <w:t xml:space="preserve">Canada</w:t>
      </w:r>
      <w:r>
        <w:t xml:space="preserve"> </w:t>
      </w:r>
      <w:r>
        <w:t xml:space="preserve">Toronto</w:t>
      </w:r>
    </w:p>
    <w:bookmarkStart w:id="33" w:name="X27e4530ae6f4191fb79d7f7444ce2edd98ee9b9"/>
    <w:p>
      <w:pPr>
        <w:pStyle w:val="Heading1"/>
      </w:pPr>
      <w:r>
        <w:t xml:space="preserve">Experiment Protocol: Telecommunication Engineer Field Testing in Canada Toronto</w:t>
      </w:r>
    </w:p>
    <w:p>
      <w:pPr>
        <w:pStyle w:val="FirstParagraph"/>
      </w:pPr>
      <w:r>
        <w:rPr>
          <w:bCs/>
          <w:b/>
        </w:rPr>
        <w:t xml:space="preserve">Document ID:</w:t>
      </w:r>
      <w:r>
        <w:t xml:space="preserve"> </w:t>
      </w:r>
      <w:r>
        <w:t xml:space="preserve">EXP-TEL-TOR-2024-001</w:t>
      </w:r>
    </w:p>
    <w:p>
      <w:pPr>
        <w:pStyle w:val="BodyText"/>
      </w:pPr>
      <w:r>
        <w:rPr>
          <w:bCs/>
          <w:b/>
        </w:rPr>
        <w:t xml:space="preserve">Location:</w:t>
      </w:r>
      <w:r>
        <w:t xml:space="preserve"> </w:t>
      </w:r>
      <w:r>
        <w:t xml:space="preserve">Canada Toronto, Ontario</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methodologies, and safety guidelines for a Telecommunication Engineer conducting field tests and experiments in Canada Toronto. The purpose of this document is to ensure that all experimental activities are conducted in a safe, efficient, and compliant manner, adhering to local regulations and industry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performance of new telecommunication equipment in urban environments.</w:t>
      </w:r>
    </w:p>
    <w:p>
      <w:pPr>
        <w:numPr>
          <w:ilvl w:val="0"/>
          <w:numId w:val="1001"/>
        </w:numPr>
        <w:pStyle w:val="Compact"/>
      </w:pPr>
      <w:r>
        <w:t xml:space="preserve">To assess signal strength, latency, and data throughput in various locations across Canada Toronto.</w:t>
      </w:r>
    </w:p>
    <w:p>
      <w:pPr>
        <w:numPr>
          <w:ilvl w:val="0"/>
          <w:numId w:val="1001"/>
        </w:numPr>
        <w:pStyle w:val="Compact"/>
      </w:pPr>
      <w:r>
        <w:t xml:space="preserve">To identify potential interference sources and propose mitigation strategies.</w:t>
      </w:r>
    </w:p>
    <w:p>
      <w:pPr>
        <w:numPr>
          <w:ilvl w:val="0"/>
          <w:numId w:val="1001"/>
        </w:numPr>
        <w:pStyle w:val="Compact"/>
      </w:pPr>
      <w:r>
        <w:t xml:space="preserve">To ensure compliance with Canadian telecommunications regulations.</w:t>
      </w:r>
    </w:p>
    <w:bookmarkEnd w:id="21"/>
    <w:bookmarkStart w:id="22" w:name="scope"/>
    <w:p>
      <w:pPr>
        <w:pStyle w:val="Heading2"/>
      </w:pPr>
      <w:r>
        <w:t xml:space="preserve">3. Scope</w:t>
      </w:r>
    </w:p>
    <w:p>
      <w:pPr>
        <w:pStyle w:val="FirstParagraph"/>
      </w:pPr>
      <w:r>
        <w:t xml:space="preserve">This protocol applies to all Telecommunication Engineers involved in the experiment. It covers the planning, execution, data collection, analysis, and reporting phases of the experiment. The scope includes both indoor and outdoor testing environments within Canada Toronto.</w:t>
      </w:r>
    </w:p>
    <w:bookmarkEnd w:id="22"/>
    <w:bookmarkStart w:id="23"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Telecommunication Engineer</w:t>
            </w:r>
          </w:p>
        </w:tc>
        <w:tc>
          <w:tcPr/>
          <w:p>
            <w:pPr>
              <w:pStyle w:val="Compact"/>
              <w:jc w:val="left"/>
            </w:pPr>
            <w:r>
              <w:t xml:space="preserve">Conduct field tests, collect data, ensure safety compliance, and report findings.</w:t>
            </w:r>
          </w:p>
        </w:tc>
      </w:tr>
      <w:tr>
        <w:tc>
          <w:tcPr/>
          <w:p>
            <w:pPr>
              <w:pStyle w:val="Compact"/>
              <w:jc w:val="left"/>
            </w:pPr>
            <w:r>
              <w:t xml:space="preserve">Project Manager</w:t>
            </w:r>
          </w:p>
        </w:tc>
        <w:tc>
          <w:tcPr/>
          <w:p>
            <w:pPr>
              <w:pStyle w:val="Compact"/>
              <w:jc w:val="left"/>
            </w:pPr>
            <w:r>
              <w:t xml:space="preserve">Oversee the experiment, ensure resource availability, and review reports.</w:t>
            </w:r>
          </w:p>
        </w:tc>
      </w:tr>
      <w:tr>
        <w:tc>
          <w:tcPr/>
          <w:p>
            <w:pPr>
              <w:pStyle w:val="Compact"/>
              <w:jc w:val="left"/>
            </w:pPr>
            <w:r>
              <w:t xml:space="preserve">Safety Officer</w:t>
            </w:r>
          </w:p>
        </w:tc>
        <w:tc>
          <w:tcPr/>
          <w:p>
            <w:pPr>
              <w:pStyle w:val="Compact"/>
              <w:jc w:val="left"/>
            </w:pPr>
            <w:r>
              <w:t xml:space="preserve">Monitor safety protocols, conduct risk assessments, and provide training.</w:t>
            </w:r>
          </w:p>
        </w:tc>
      </w:tr>
    </w:tbl>
    <w:bookmarkEnd w:id="23"/>
    <w:bookmarkStart w:id="24" w:name="equipment-and-materials"/>
    <w:p>
      <w:pPr>
        <w:pStyle w:val="Heading2"/>
      </w:pPr>
      <w:r>
        <w:t xml:space="preserve">5. Equipment and Materials</w:t>
      </w:r>
    </w:p>
    <w:p>
      <w:pPr>
        <w:pStyle w:val="FirstParagraph"/>
      </w:pPr>
      <w:r>
        <w:t xml:space="preserve">The following equipment and materials are required for the experiment:</w:t>
      </w:r>
    </w:p>
    <w:p>
      <w:pPr>
        <w:numPr>
          <w:ilvl w:val="0"/>
          <w:numId w:val="1002"/>
        </w:numPr>
        <w:pStyle w:val="Compact"/>
      </w:pPr>
      <w:r>
        <w:t xml:space="preserve">Spectrum Analyzer</w:t>
      </w:r>
    </w:p>
    <w:p>
      <w:pPr>
        <w:numPr>
          <w:ilvl w:val="0"/>
          <w:numId w:val="1002"/>
        </w:numPr>
        <w:pStyle w:val="Compact"/>
      </w:pPr>
      <w:r>
        <w:t xml:space="preserve">Signal Generator</w:t>
      </w:r>
    </w:p>
    <w:p>
      <w:pPr>
        <w:numPr>
          <w:ilvl w:val="0"/>
          <w:numId w:val="1002"/>
        </w:numPr>
        <w:pStyle w:val="Compact"/>
      </w:pPr>
      <w:r>
        <w:t xml:space="preserve">Antennas (various types)</w:t>
      </w:r>
    </w:p>
    <w:p>
      <w:pPr>
        <w:numPr>
          <w:ilvl w:val="0"/>
          <w:numId w:val="1002"/>
        </w:numPr>
        <w:pStyle w:val="Compact"/>
      </w:pPr>
      <w:r>
        <w:t xml:space="preserve">Laptop with data logging software</w:t>
      </w:r>
    </w:p>
    <w:p>
      <w:pPr>
        <w:numPr>
          <w:ilvl w:val="0"/>
          <w:numId w:val="1002"/>
        </w:numPr>
        <w:pStyle w:val="Compact"/>
      </w:pPr>
      <w:r>
        <w:t xml:space="preserve">GPS device for location tracking</w:t>
      </w:r>
    </w:p>
    <w:p>
      <w:pPr>
        <w:numPr>
          <w:ilvl w:val="0"/>
          <w:numId w:val="1002"/>
        </w:numPr>
        <w:pStyle w:val="Compact"/>
      </w:pPr>
      <w:r>
        <w:t xml:space="preserve">Personal Protective Equipment (PPE)</w:t>
      </w:r>
    </w:p>
    <w:bookmarkEnd w:id="24"/>
    <w:bookmarkStart w:id="28" w:name="procedure"/>
    <w:p>
      <w:pPr>
        <w:pStyle w:val="Heading2"/>
      </w:pPr>
      <w:r>
        <w:t xml:space="preserve">6. Procedure</w:t>
      </w:r>
    </w:p>
    <w:bookmarkStart w:id="25" w:name="preparation"/>
    <w:p>
      <w:pPr>
        <w:pStyle w:val="Heading3"/>
      </w:pPr>
      <w:r>
        <w:t xml:space="preserve">6.1 Preparation</w:t>
      </w:r>
    </w:p>
    <w:p>
      <w:pPr>
        <w:pStyle w:val="FirstParagraph"/>
      </w:pPr>
      <w:r>
        <w:t xml:space="preserve">Before starting the experiment, the Telecommunication Engineer must:</w:t>
      </w:r>
    </w:p>
    <w:p>
      <w:pPr>
        <w:numPr>
          <w:ilvl w:val="0"/>
          <w:numId w:val="1003"/>
        </w:numPr>
        <w:pStyle w:val="Compact"/>
      </w:pPr>
      <w:r>
        <w:t xml:space="preserve">Review this protocol and ensure understanding of all procedures.</w:t>
      </w:r>
    </w:p>
    <w:p>
      <w:pPr>
        <w:numPr>
          <w:ilvl w:val="0"/>
          <w:numId w:val="1003"/>
        </w:numPr>
        <w:pStyle w:val="Compact"/>
      </w:pPr>
      <w:r>
        <w:t xml:space="preserve">Check and calibrate all equipment.</w:t>
      </w:r>
    </w:p>
    <w:p>
      <w:pPr>
        <w:numPr>
          <w:ilvl w:val="0"/>
          <w:numId w:val="1003"/>
        </w:numPr>
        <w:pStyle w:val="Compact"/>
      </w:pPr>
      <w:r>
        <w:t xml:space="preserve">Obtain necessary permits and approvals from local authorities in Canada Toronto.</w:t>
      </w:r>
    </w:p>
    <w:p>
      <w:pPr>
        <w:numPr>
          <w:ilvl w:val="0"/>
          <w:numId w:val="1003"/>
        </w:numPr>
        <w:pStyle w:val="Compact"/>
      </w:pPr>
      <w:r>
        <w:t xml:space="preserve">Conduct a risk assessment and identify potential hazards.</w:t>
      </w:r>
    </w:p>
    <w:bookmarkEnd w:id="25"/>
    <w:bookmarkStart w:id="26" w:name="execution"/>
    <w:p>
      <w:pPr>
        <w:pStyle w:val="Heading3"/>
      </w:pPr>
      <w:r>
        <w:t xml:space="preserve">6.2 Execution</w:t>
      </w:r>
    </w:p>
    <w:p>
      <w:pPr>
        <w:pStyle w:val="FirstParagraph"/>
      </w:pPr>
      <w:r>
        <w:t xml:space="preserve">During the experiment, the Telecommunication Engineer must:</w:t>
      </w:r>
    </w:p>
    <w:p>
      <w:pPr>
        <w:numPr>
          <w:ilvl w:val="0"/>
          <w:numId w:val="1004"/>
        </w:numPr>
        <w:pStyle w:val="Compact"/>
      </w:pPr>
      <w:r>
        <w:t xml:space="preserve">Follow the predefined test plan and routes.</w:t>
      </w:r>
    </w:p>
    <w:p>
      <w:pPr>
        <w:numPr>
          <w:ilvl w:val="0"/>
          <w:numId w:val="1004"/>
        </w:numPr>
        <w:pStyle w:val="Compact"/>
      </w:pPr>
      <w:r>
        <w:t xml:space="preserve">Record all data accurately and timestamp each entry.</w:t>
      </w:r>
    </w:p>
    <w:p>
      <w:pPr>
        <w:numPr>
          <w:ilvl w:val="0"/>
          <w:numId w:val="1004"/>
        </w:numPr>
        <w:pStyle w:val="Compact"/>
      </w:pPr>
      <w:r>
        <w:t xml:space="preserve">Maintain communication with the project team.</w:t>
      </w:r>
    </w:p>
    <w:p>
      <w:pPr>
        <w:numPr>
          <w:ilvl w:val="0"/>
          <w:numId w:val="1004"/>
        </w:numPr>
        <w:pStyle w:val="Compact"/>
      </w:pPr>
      <w:r>
        <w:t xml:space="preserve">Adhere to safety protocols at all times.</w:t>
      </w:r>
    </w:p>
    <w:bookmarkEnd w:id="26"/>
    <w:bookmarkStart w:id="27" w:name="data-collection"/>
    <w:p>
      <w:pPr>
        <w:pStyle w:val="Heading3"/>
      </w:pPr>
      <w:r>
        <w:t xml:space="preserve">6.3 Data Collection</w:t>
      </w:r>
    </w:p>
    <w:p>
      <w:pPr>
        <w:pStyle w:val="FirstParagraph"/>
      </w:pPr>
      <w:r>
        <w:t xml:space="preserve">Data to be collected includes:</w:t>
      </w:r>
    </w:p>
    <w:p>
      <w:pPr>
        <w:numPr>
          <w:ilvl w:val="0"/>
          <w:numId w:val="1005"/>
        </w:numPr>
        <w:pStyle w:val="Compact"/>
      </w:pPr>
      <w:r>
        <w:t xml:space="preserve">Signal strength (RSSI)</w:t>
      </w:r>
    </w:p>
    <w:p>
      <w:pPr>
        <w:numPr>
          <w:ilvl w:val="0"/>
          <w:numId w:val="1005"/>
        </w:numPr>
        <w:pStyle w:val="Compact"/>
      </w:pPr>
      <w:r>
        <w:t xml:space="preserve">Latency measurements</w:t>
      </w:r>
    </w:p>
    <w:p>
      <w:pPr>
        <w:numPr>
          <w:ilvl w:val="0"/>
          <w:numId w:val="1005"/>
        </w:numPr>
        <w:pStyle w:val="Compact"/>
      </w:pPr>
      <w:r>
        <w:t xml:space="preserve">Data throughput rates</w:t>
      </w:r>
    </w:p>
    <w:p>
      <w:pPr>
        <w:numPr>
          <w:ilvl w:val="0"/>
          <w:numId w:val="1005"/>
        </w:numPr>
        <w:pStyle w:val="Compact"/>
      </w:pPr>
      <w:r>
        <w:t xml:space="preserve">Interference levels</w:t>
      </w:r>
    </w:p>
    <w:p>
      <w:pPr>
        <w:numPr>
          <w:ilvl w:val="0"/>
          <w:numId w:val="1005"/>
        </w:numPr>
        <w:pStyle w:val="Compact"/>
      </w:pPr>
      <w:r>
        <w:t xml:space="preserve">Environmental conditions (temperature, humidity)</w:t>
      </w:r>
    </w:p>
    <w:bookmarkEnd w:id="27"/>
    <w:bookmarkEnd w:id="28"/>
    <w:bookmarkStart w:id="29" w:name="safety-guidelines"/>
    <w:p>
      <w:pPr>
        <w:pStyle w:val="Heading2"/>
      </w:pPr>
      <w:r>
        <w:t xml:space="preserve">7. Safety Guidelines</w:t>
      </w:r>
    </w:p>
    <w:p>
      <w:pPr>
        <w:pStyle w:val="FirstParagraph"/>
      </w:pPr>
      <w:r>
        <w:t xml:space="preserve">The Telecommunication Engineer must adhere to the following safety guidelines:</w:t>
      </w:r>
    </w:p>
    <w:p>
      <w:pPr>
        <w:numPr>
          <w:ilvl w:val="0"/>
          <w:numId w:val="1006"/>
        </w:numPr>
        <w:pStyle w:val="Compact"/>
      </w:pPr>
      <w:r>
        <w:t xml:space="preserve">Wear appropriate PPE, including hard hats, safety glasses, and high-visibility vests.</w:t>
      </w:r>
    </w:p>
    <w:p>
      <w:pPr>
        <w:numPr>
          <w:ilvl w:val="0"/>
          <w:numId w:val="1006"/>
        </w:numPr>
        <w:pStyle w:val="Compact"/>
      </w:pPr>
      <w:r>
        <w:t xml:space="preserve">Avoid working alone in remote or hazardous areas.</w:t>
      </w:r>
    </w:p>
    <w:p>
      <w:pPr>
        <w:numPr>
          <w:ilvl w:val="0"/>
          <w:numId w:val="1006"/>
        </w:numPr>
        <w:pStyle w:val="Compact"/>
      </w:pPr>
      <w:r>
        <w:t xml:space="preserve">Be aware of overhead power lines and other electrical hazards.</w:t>
      </w:r>
    </w:p>
    <w:p>
      <w:pPr>
        <w:numPr>
          <w:ilvl w:val="0"/>
          <w:numId w:val="1006"/>
        </w:numPr>
        <w:pStyle w:val="Compact"/>
      </w:pPr>
      <w:r>
        <w:t xml:space="preserve">Follow traffic rules when conducting tests near roads.</w:t>
      </w:r>
    </w:p>
    <w:p>
      <w:pPr>
        <w:numPr>
          <w:ilvl w:val="0"/>
          <w:numId w:val="1006"/>
        </w:numPr>
        <w:pStyle w:val="Compact"/>
      </w:pPr>
      <w:r>
        <w:t xml:space="preserve">Report any incidents or near-misses immediately.</w:t>
      </w:r>
    </w:p>
    <w:bookmarkEnd w:id="29"/>
    <w:bookmarkStart w:id="30" w:name="compliance-and-regulations"/>
    <w:p>
      <w:pPr>
        <w:pStyle w:val="Heading2"/>
      </w:pPr>
      <w:r>
        <w:t xml:space="preserve">8. Compliance and Regulations</w:t>
      </w:r>
    </w:p>
    <w:p>
      <w:pPr>
        <w:pStyle w:val="FirstParagraph"/>
      </w:pPr>
      <w:r>
        <w:t xml:space="preserve">All activities must comply with:</w:t>
      </w:r>
    </w:p>
    <w:p>
      <w:pPr>
        <w:numPr>
          <w:ilvl w:val="0"/>
          <w:numId w:val="1007"/>
        </w:numPr>
        <w:pStyle w:val="Compact"/>
      </w:pPr>
      <w:r>
        <w:t xml:space="preserve">Canadian Radio-television and Telecommunications Commission (CRTC) regulations.</w:t>
      </w:r>
    </w:p>
    <w:p>
      <w:pPr>
        <w:numPr>
          <w:ilvl w:val="0"/>
          <w:numId w:val="1007"/>
        </w:numPr>
        <w:pStyle w:val="Compact"/>
      </w:pPr>
      <w:r>
        <w:t xml:space="preserve">Local bylaws and regulations in Canada Toronto.</w:t>
      </w:r>
    </w:p>
    <w:p>
      <w:pPr>
        <w:numPr>
          <w:ilvl w:val="0"/>
          <w:numId w:val="1007"/>
        </w:numPr>
        <w:pStyle w:val="Compact"/>
      </w:pPr>
      <w:r>
        <w:t xml:space="preserve">Industry standards such as IEEE and ITU.</w:t>
      </w:r>
    </w:p>
    <w:bookmarkEnd w:id="30"/>
    <w:bookmarkStart w:id="31" w:name="reporting"/>
    <w:p>
      <w:pPr>
        <w:pStyle w:val="Heading2"/>
      </w:pPr>
      <w:r>
        <w:t xml:space="preserve">9. Reporting</w:t>
      </w:r>
    </w:p>
    <w:p>
      <w:pPr>
        <w:pStyle w:val="FirstParagraph"/>
      </w:pPr>
      <w:r>
        <w:t xml:space="preserve">After the experiment, the Telecommunication Engineer must:</w:t>
      </w:r>
    </w:p>
    <w:p>
      <w:pPr>
        <w:numPr>
          <w:ilvl w:val="0"/>
          <w:numId w:val="1008"/>
        </w:numPr>
        <w:pStyle w:val="Compact"/>
      </w:pPr>
      <w:r>
        <w:t xml:space="preserve">Compile all collected data.</w:t>
      </w:r>
    </w:p>
    <w:p>
      <w:pPr>
        <w:numPr>
          <w:ilvl w:val="0"/>
          <w:numId w:val="1008"/>
        </w:numPr>
        <w:pStyle w:val="Compact"/>
      </w:pPr>
      <w:r>
        <w:t xml:space="preserve">Analyze the results and identify trends or anomalies.</w:t>
      </w:r>
    </w:p>
    <w:p>
      <w:pPr>
        <w:numPr>
          <w:ilvl w:val="0"/>
          <w:numId w:val="1008"/>
        </w:numPr>
        <w:pStyle w:val="Compact"/>
      </w:pPr>
      <w:r>
        <w:t xml:space="preserve">Prepare a detailed report including findings, recommendations, and conclusions.</w:t>
      </w:r>
    </w:p>
    <w:p>
      <w:pPr>
        <w:numPr>
          <w:ilvl w:val="0"/>
          <w:numId w:val="1008"/>
        </w:numPr>
        <w:pStyle w:val="Compact"/>
      </w:pPr>
      <w:r>
        <w:t xml:space="preserve">Submit the report to the project manager for review.</w:t>
      </w:r>
    </w:p>
    <w:bookmarkEnd w:id="31"/>
    <w:bookmarkStart w:id="32" w:name="conclusion"/>
    <w:p>
      <w:pPr>
        <w:pStyle w:val="Heading2"/>
      </w:pPr>
      <w:r>
        <w:t xml:space="preserve">10. Conclusion</w:t>
      </w:r>
    </w:p>
    <w:p>
      <w:pPr>
        <w:pStyle w:val="FirstParagraph"/>
      </w:pPr>
      <w:r>
        <w:t xml:space="preserve">This Experiment Protocol provides a comprehensive framework for Telecommunication Engineers conducting field tests in Canada Toronto. By following these guidelines, engineers can ensure that their work is safe, effective, and compliant with all relevant regulations.</w:t>
      </w:r>
    </w:p>
    <w:p>
      <w:pPr>
        <w:pStyle w:val="BodyText"/>
      </w:pPr>
      <w:r>
        <w:t xml:space="preserve">This document is subject to updates and revisions as necessary. All personnel involved in the experiment must be familiar with the latest version.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Testing in Canada Toronto</dc:title>
  <dc:creator/>
  <dc:language>en</dc:language>
  <cp:keywords/>
  <dcterms:created xsi:type="dcterms:W3CDTF">2026-10-10T03:56:19Z</dcterms:created>
  <dcterms:modified xsi:type="dcterms:W3CDTF">2026-10-10T03:56:19Z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