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5G NR Network Performance in Dense Urban Environments</w:t>
      </w:r>
    </w:p>
    <w:p>
      <w:pPr>
        <w:pStyle w:val="BodyText"/>
      </w:pPr>
      <w:r>
        <w:rPr>
          <w:bCs/>
          <w:b/>
        </w:rPr>
        <w:t xml:space="preserve">Location:</w:t>
      </w:r>
      <w:r>
        <w:t xml:space="preserve"> </w:t>
      </w:r>
      <w:r>
        <w:t xml:space="preserve">France Marseille, Bouches-du-Rhône (13000-13008)</w:t>
      </w:r>
    </w:p>
    <w:p>
      <w:pPr>
        <w:pStyle w:val="BodyText"/>
      </w:pPr>
      <w:r>
        <w:rPr>
          <w:bCs/>
          <w:b/>
        </w:rPr>
        <w:t xml:space="preserve">Role:</w:t>
      </w:r>
      <w:r>
        <w:t xml:space="preserve"> </w:t>
      </w:r>
      <w:r>
        <w:t xml:space="preserve">Telecommunication Engineer</w:t>
      </w:r>
    </w:p>
    <w:p>
      <w:pPr>
        <w:pStyle w:val="BodyText"/>
      </w:pPr>
      <w:r>
        <w:rPr>
          <w:bCs/>
          <w:b/>
        </w:rPr>
        <w:t xml:space="preserve">Protocol ID:</w:t>
      </w:r>
      <w:r>
        <w:t xml:space="preserve"> </w:t>
      </w:r>
      <w:r>
        <w:t xml:space="preserve">FR-MRS-TE-2023-004</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methodology for a field study conducted by a qualified Telecommunication Engineer in the metropolitan area of France Marseille. The primary objective is to evaluate the spectral efficiency and latency performance of 5G New Radio (NR) networks operating in the 3.5 GHz band within the dense urban fabric of Marseille's 1st and 2nd arrondissements.</w:t>
      </w:r>
    </w:p>
    <w:p>
      <w:pPr>
        <w:pStyle w:val="BodyText"/>
      </w:pPr>
      <w:r>
        <w:t xml:space="preserve">Given the unique topography of France Marseille, characterized by the proximity of the Mediterranean Sea, the Calanques, and the historic hill of Notre-Dame de la Garde, signal propagation is subject to significant multipath fading and shadowing. This protocol aims to quantify these environmental impacts to optimize base station placement and antenna tilt configurations.</w:t>
      </w:r>
    </w:p>
    <w:p>
      <w:pPr>
        <w:pStyle w:val="BodyText"/>
      </w:pPr>
      <w:r>
        <w:t xml:space="preserve">2. Scope and Regulatory Compliance</w:t>
      </w:r>
    </w:p>
    <w:p>
      <w:pPr>
        <w:pStyle w:val="BodyText"/>
      </w:pPr>
      <w:r>
        <w:t xml:space="preserve">The scope of this experiment is limited to non-intrusive drive testing and fixed-point measurements. As a Telecommunication Engineer operating in France, strict adherence to the regulations set forth by the Autorité de Régulation des Communications Électroniques et des Postes (ARCEP) is mandatory.</w:t>
      </w:r>
    </w:p>
    <w:p>
      <w:pPr>
        <w:pStyle w:val="BodyText"/>
      </w:pPr>
      <w:r>
        <w:t xml:space="preserve">All equipment used must comply with European Union Radio Equipment Directive (RED) 2014/53/EU. Furthermore, data collection involving user equipment must respect the General Data Protection Regulation (GDPR) applicable in France. No personally identifiable information (PII) will be captured during the experiment.</w:t>
      </w:r>
    </w:p>
    <w:p>
      <w:pPr>
        <w:pStyle w:val="BodyText"/>
      </w:pPr>
      <w:r>
        <w:t xml:space="preserve">3. Equipment and Tools</w:t>
      </w:r>
    </w:p>
    <w:p>
      <w:pPr>
        <w:pStyle w:val="BodyText"/>
      </w:pPr>
      <w:r>
        <w:t xml:space="preserve">The Telecommunication Engineer will utilize the following calibrated instruments:</w:t>
      </w:r>
    </w:p>
    <w:p>
      <w:pPr>
        <w:numPr>
          <w:ilvl w:val="0"/>
          <w:numId w:val="1001"/>
        </w:numPr>
        <w:pStyle w:val="Compact"/>
      </w:pPr>
      <w:r>
        <w:rPr>
          <w:bCs/>
          <w:b/>
        </w:rPr>
        <w:t xml:space="preserve">Spectrum Analyzer:</w:t>
      </w:r>
      <w:r>
        <w:t xml:space="preserve"> </w:t>
      </w:r>
      <w:r>
        <w:t xml:space="preserve">Keysight FieldFox N99xxA (Calibrated within the last 12 months).</w:t>
      </w:r>
    </w:p>
    <w:p>
      <w:pPr>
        <w:numPr>
          <w:ilvl w:val="0"/>
          <w:numId w:val="1001"/>
        </w:numPr>
        <w:pStyle w:val="Compact"/>
      </w:pPr>
      <w:r>
        <w:rPr>
          <w:bCs/>
          <w:b/>
        </w:rPr>
        <w:t xml:space="preserve">Drive Test Software:</w:t>
      </w:r>
      <w:r>
        <w:t xml:space="preserve"> </w:t>
      </w:r>
      <w:r>
        <w:t xml:space="preserve">TEMS Investigation or equivalent, configured for 5G NR logging.</w:t>
      </w:r>
    </w:p>
    <w:p>
      <w:pPr>
        <w:numPr>
          <w:ilvl w:val="0"/>
          <w:numId w:val="1001"/>
        </w:numPr>
        <w:pStyle w:val="Compact"/>
      </w:pPr>
      <w:r>
        <w:rPr>
          <w:bCs/>
          <w:b/>
        </w:rPr>
        <w:t xml:space="preserve">User Equipment (UE):</w:t>
      </w:r>
      <w:r>
        <w:t xml:space="preserve"> </w:t>
      </w:r>
      <w:r>
        <w:t xml:space="preserve">Three distinct 5G-capable smartphones (Samsung Galaxy S23, iPhone 14 Pro, Pixel 7) to ensure vendor neutrality.</w:t>
      </w:r>
    </w:p>
    <w:p>
      <w:pPr>
        <w:numPr>
          <w:ilvl w:val="0"/>
          <w:numId w:val="1001"/>
        </w:numPr>
        <w:pStyle w:val="Compact"/>
      </w:pPr>
      <w:r>
        <w:rPr>
          <w:bCs/>
          <w:b/>
        </w:rPr>
        <w:t xml:space="preserve">GPS Receiver:</w:t>
      </w:r>
      <w:r>
        <w:t xml:space="preserve"> </w:t>
      </w:r>
      <w:r>
        <w:t xml:space="preserve">High-precision GNSS receiver for accurate geolocation of measurement points in France Marseille.</w:t>
      </w:r>
    </w:p>
    <w:p>
      <w:pPr>
        <w:numPr>
          <w:ilvl w:val="0"/>
          <w:numId w:val="1001"/>
        </w:numPr>
        <w:pStyle w:val="Compact"/>
      </w:pPr>
      <w:r>
        <w:rPr>
          <w:bCs/>
          <w:b/>
        </w:rPr>
        <w:t xml:space="preserve">Antenna:</w:t>
      </w:r>
      <w:r>
        <w:t xml:space="preserve"> </w:t>
      </w:r>
      <w:r>
        <w:t xml:space="preserve">Omnidirectional external antenna for vehicle-based testing.</w:t>
      </w:r>
    </w:p>
    <w:p>
      <w:pPr>
        <w:pStyle w:val="FirstParagraph"/>
      </w:pPr>
      <w:r>
        <w:t xml:space="preserve">4. Methodology</w:t>
      </w:r>
    </w:p>
    <w:p>
      <w:pPr>
        <w:pStyle w:val="BodyText"/>
      </w:pPr>
      <w:r>
        <w:t xml:space="preserve">The experiment will be conducted in three distinct phases over a period of seven days.</w:t>
      </w:r>
    </w:p>
    <w:bookmarkStart w:id="21" w:name="phase-1-route-planning-and-baseline"/>
    <w:p>
      <w:pPr>
        <w:pStyle w:val="Heading3"/>
      </w:pPr>
      <w:r>
        <w:t xml:space="preserve">Phase 1: Route Planning and Baseline</w:t>
      </w:r>
    </w:p>
    <w:p>
      <w:pPr>
        <w:pStyle w:val="FirstParagraph"/>
      </w:pPr>
      <w:r>
        <w:t xml:space="preserve">The Telecommunication Engineer will define specific drive test routes covering key arteries in France Marseille, including the Corniche Kennedy, the Vieux-Port perimeter, and the La Canebière boulevard. Baseline measurements of Reference Signal Received Power (RSRP) and Signal-to-Interference-plus-Noise Ratio (SINR) will be recorded during off-peak hours (02:00 - 04:00 CET).</w:t>
      </w:r>
    </w:p>
    <w:bookmarkEnd w:id="21"/>
    <w:bookmarkStart w:id="22" w:name="phase-2-peak-load-testing"/>
    <w:p>
      <w:pPr>
        <w:pStyle w:val="Heading3"/>
      </w:pPr>
      <w:r>
        <w:t xml:space="preserve">Phase 2: Peak Load Testing</w:t>
      </w:r>
    </w:p>
    <w:p>
      <w:pPr>
        <w:pStyle w:val="FirstParagraph"/>
      </w:pPr>
      <w:r>
        <w:t xml:space="preserve">Measurements will be repeated during peak traffic hours (18:00 - 20:00 CET) to assess network congestion. The engineer will monitor throughput (download/upload) and latency (ping) metrics. Special attention will be paid to handover success rates between macro cells and small cells deployed in the dense urban center.</w:t>
      </w:r>
    </w:p>
    <w:bookmarkEnd w:id="22"/>
    <w:bookmarkStart w:id="23" w:name="phase-3-fixed-point-analysis"/>
    <w:p>
      <w:pPr>
        <w:pStyle w:val="Heading3"/>
      </w:pPr>
      <w:r>
        <w:t xml:space="preserve">Phase 3: Fixed Point Analysis</w:t>
      </w:r>
    </w:p>
    <w:p>
      <w:pPr>
        <w:pStyle w:val="FirstParagraph"/>
      </w:pPr>
      <w:r>
        <w:t xml:space="preserve">Static measurements will be taken at five predetermined locations, including the Joliette district and the Euroméditerranée business park. These points will allow for the analysis of beamforming efficiency and vertical coverage, which is critical in the high-rise environments found in modern France Marseille developments.</w:t>
      </w:r>
    </w:p>
    <w:bookmarkEnd w:id="23"/>
    <w:p>
      <w:pPr>
        <w:pStyle w:val="BodyText"/>
      </w:pPr>
      <w:r>
        <w:t xml:space="preserve">5. Data Collection Parameters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Value / Condition</w:t>
            </w:r>
          </w:p>
        </w:tc>
        <w:tc>
          <w:tcPr/>
          <w:p>
            <w:pPr>
              <w:pStyle w:val="Compact"/>
              <w:jc w:val="left"/>
            </w:pPr>
            <w:r>
              <w:t xml:space="preserve">Measurement Interval</w:t>
            </w:r>
          </w:p>
        </w:tc>
      </w:tr>
      <w:tr>
        <w:tc>
          <w:tcPr/>
          <w:p>
            <w:pPr>
              <w:pStyle w:val="Compact"/>
              <w:jc w:val="left"/>
            </w:pPr>
            <w:r>
              <w:t xml:space="preserve">RSRP</w:t>
            </w:r>
          </w:p>
        </w:tc>
        <w:tc>
          <w:tcPr/>
          <w:p>
            <w:pPr>
              <w:pStyle w:val="Compact"/>
              <w:jc w:val="left"/>
            </w:pPr>
            <w:r>
              <w:t xml:space="preserve">&gt; -105 dBm</w:t>
            </w:r>
          </w:p>
        </w:tc>
        <w:tc>
          <w:tcPr/>
          <w:p>
            <w:pPr>
              <w:pStyle w:val="Compact"/>
              <w:jc w:val="left"/>
            </w:pPr>
            <w:r>
              <w:t xml:space="preserve">1 second</w:t>
            </w:r>
          </w:p>
        </w:tc>
      </w:tr>
      <w:tr>
        <w:tc>
          <w:tcPr/>
          <w:p>
            <w:pPr>
              <w:pStyle w:val="Compact"/>
              <w:jc w:val="left"/>
            </w:pPr>
            <w:r>
              <w:t xml:space="preserve">SINR</w:t>
            </w:r>
          </w:p>
        </w:tc>
        <w:tc>
          <w:tcPr/>
          <w:p>
            <w:pPr>
              <w:pStyle w:val="Compact"/>
              <w:jc w:val="left"/>
            </w:pPr>
            <w:r>
              <w:t xml:space="preserve">&gt; 3 dB</w:t>
            </w:r>
          </w:p>
        </w:tc>
        <w:tc>
          <w:tcPr/>
          <w:p>
            <w:pPr>
              <w:pStyle w:val="Compact"/>
              <w:jc w:val="left"/>
            </w:pPr>
            <w:r>
              <w:t xml:space="preserve">1 second</w:t>
            </w:r>
          </w:p>
        </w:tc>
      </w:tr>
      <w:tr>
        <w:tc>
          <w:tcPr/>
          <w:p>
            <w:pPr>
              <w:pStyle w:val="Compact"/>
              <w:jc w:val="left"/>
            </w:pPr>
            <w:r>
              <w:t xml:space="preserve">Latency</w:t>
            </w:r>
          </w:p>
        </w:tc>
        <w:tc>
          <w:tcPr/>
          <w:p>
            <w:pPr>
              <w:pStyle w:val="Compact"/>
              <w:jc w:val="left"/>
            </w:pPr>
            <w:r>
              <w:t xml:space="preserve">&lt; 20 ms</w:t>
            </w:r>
          </w:p>
        </w:tc>
        <w:tc>
          <w:tcPr/>
          <w:p>
            <w:pPr>
              <w:pStyle w:val="Compact"/>
              <w:jc w:val="left"/>
            </w:pPr>
            <w:r>
              <w:t xml:space="preserve">Continuous</w:t>
            </w:r>
          </w:p>
        </w:tc>
      </w:tr>
      <w:tr>
        <w:tc>
          <w:tcPr/>
          <w:p>
            <w:pPr>
              <w:pStyle w:val="Compact"/>
              <w:jc w:val="left"/>
            </w:pPr>
            <w:r>
              <w:t xml:space="preserve">Throughput</w:t>
            </w:r>
          </w:p>
        </w:tc>
        <w:tc>
          <w:tcPr/>
          <w:p>
            <w:pPr>
              <w:pStyle w:val="Compact"/>
              <w:jc w:val="left"/>
            </w:pPr>
            <w:r>
              <w:t xml:space="preserve">Variable (Record Actual)</w:t>
            </w:r>
          </w:p>
        </w:tc>
        <w:tc>
          <w:tcPr/>
          <w:p>
            <w:pPr>
              <w:pStyle w:val="Compact"/>
              <w:jc w:val="left"/>
            </w:pPr>
            <w:r>
              <w:t xml:space="preserve">Per Test File</w:t>
            </w:r>
          </w:p>
        </w:tc>
      </w:tr>
    </w:tbl>
    <w:p>
      <w:pPr>
        <w:pStyle w:val="BodyText"/>
      </w:pPr>
      <w:r>
        <w:t xml:space="preserve">6. Safety and Risk Management</w:t>
      </w:r>
    </w:p>
    <w:p>
      <w:pPr>
        <w:pStyle w:val="BodyText"/>
      </w:pPr>
      <w:r>
        <w:t xml:space="preserve">The Telecommunication Engineer must adhere to all French occupational health and safety standards (Code du Travail).</w:t>
      </w:r>
    </w:p>
    <w:p>
      <w:pPr>
        <w:numPr>
          <w:ilvl w:val="0"/>
          <w:numId w:val="1002"/>
        </w:numPr>
        <w:pStyle w:val="Compact"/>
      </w:pPr>
      <w:r>
        <w:rPr>
          <w:bCs/>
          <w:b/>
        </w:rPr>
        <w:t xml:space="preserve">Vehicle Safety:</w:t>
      </w:r>
      <w:r>
        <w:t xml:space="preserve"> </w:t>
      </w:r>
      <w:r>
        <w:t xml:space="preserve">During drive tests, the engineer must remain a passenger. The vehicle must be driven by a licensed operator familiar with the traffic laws of France Marseille.</w:t>
      </w:r>
    </w:p>
    <w:p>
      <w:pPr>
        <w:numPr>
          <w:ilvl w:val="0"/>
          <w:numId w:val="1002"/>
        </w:numPr>
        <w:pStyle w:val="Compact"/>
      </w:pPr>
      <w:r>
        <w:rPr>
          <w:bCs/>
          <w:b/>
        </w:rPr>
        <w:t xml:space="preserve">RF Exposure:</w:t>
      </w:r>
      <w:r>
        <w:t xml:space="preserve"> </w:t>
      </w:r>
      <w:r>
        <w:t xml:space="preserve">While using external antennas, the engineer must maintain a safe distance to ensure RF exposure remains below the limits defined by the French Agency for Food, Environmental and Occupational Health &amp; Safety (ANSES).</w:t>
      </w:r>
    </w:p>
    <w:p>
      <w:pPr>
        <w:numPr>
          <w:ilvl w:val="0"/>
          <w:numId w:val="1002"/>
        </w:numPr>
        <w:pStyle w:val="Compact"/>
      </w:pPr>
      <w:r>
        <w:rPr>
          <w:bCs/>
          <w:b/>
        </w:rPr>
        <w:t xml:space="preserve">Public Interaction:</w:t>
      </w:r>
      <w:r>
        <w:t xml:space="preserve"> </w:t>
      </w:r>
      <w:r>
        <w:t xml:space="preserve">The engineer must carry identification and be prepared to explain the nature of the technical experiment to local authorities or citizens if questioned.</w:t>
      </w:r>
    </w:p>
    <w:p>
      <w:pPr>
        <w:pStyle w:val="FirstParagraph"/>
      </w:pPr>
      <w:r>
        <w:t xml:space="preserve">7. Deliverables</w:t>
      </w:r>
    </w:p>
    <w:p>
      <w:pPr>
        <w:pStyle w:val="BodyText"/>
      </w:pPr>
      <w:r>
        <w:t xml:space="preserve">Upon completion of the experiment, the Telecommunication Engineer will submit a comprehensive report including:</w:t>
      </w:r>
    </w:p>
    <w:p>
      <w:pPr>
        <w:numPr>
          <w:ilvl w:val="0"/>
          <w:numId w:val="1003"/>
        </w:numPr>
        <w:pStyle w:val="Compact"/>
      </w:pPr>
      <w:r>
        <w:t xml:space="preserve">Heatmaps of RSRP and SINR coverage across the tested zones in France Marseille.</w:t>
      </w:r>
    </w:p>
    <w:p>
      <w:pPr>
        <w:numPr>
          <w:ilvl w:val="0"/>
          <w:numId w:val="1003"/>
        </w:numPr>
        <w:pStyle w:val="Compact"/>
      </w:pPr>
      <w:r>
        <w:t xml:space="preserve">Statistical analysis of latency and throughput variations between peak and off-peak hours.</w:t>
      </w:r>
    </w:p>
    <w:p>
      <w:pPr>
        <w:numPr>
          <w:ilvl w:val="0"/>
          <w:numId w:val="1003"/>
        </w:numPr>
        <w:pStyle w:val="Compact"/>
      </w:pPr>
      <w:r>
        <w:t xml:space="preserve">Identification of coverage holes or interference sources.</w:t>
      </w:r>
    </w:p>
    <w:p>
      <w:pPr>
        <w:numPr>
          <w:ilvl w:val="0"/>
          <w:numId w:val="1003"/>
        </w:numPr>
        <w:pStyle w:val="Compact"/>
      </w:pPr>
      <w:r>
        <w:t xml:space="preserve">Recommendations for network optimization, including antenna parameter adjustments.</w:t>
      </w:r>
    </w:p>
    <w:p>
      <w:pPr>
        <w:pStyle w:val="FirstParagraph"/>
      </w:pPr>
      <w:r>
        <w:rPr>
          <w:bCs/>
          <w:b/>
        </w:rPr>
        <w:t xml:space="preserve">Prepared by:</w:t>
      </w:r>
    </w:p>
    <w:p>
      <w:pPr>
        <w:pStyle w:val="BodyText"/>
      </w:pPr>
      <w:r>
        <w:t xml:space="preserve">Telecommunication Engineer</w:t>
      </w:r>
    </w:p>
    <w:p>
      <w:pPr>
        <w:pStyle w:val="BodyText"/>
      </w:pPr>
      <w:r>
        <w:t xml:space="preserve">Signature: ____________________</w:t>
      </w:r>
    </w:p>
    <w:p>
      <w:pPr>
        <w:pStyle w:val="BodyText"/>
      </w:pPr>
      <w:r>
        <w:rPr>
          <w:bCs/>
          <w:b/>
        </w:rPr>
        <w:t xml:space="preserve">Approved by:</w:t>
      </w:r>
    </w:p>
    <w:p>
      <w:pPr>
        <w:pStyle w:val="BodyText"/>
      </w:pPr>
      <w:r>
        <w:t xml:space="preserve">Project Manager</w:t>
      </w:r>
    </w:p>
    <w:p>
      <w:pPr>
        <w:pStyle w:val="BodyText"/>
      </w:pPr>
      <w:r>
        <w:t xml:space="preserve">Signature: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France Marseille</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