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Bangalore</w:t>
      </w:r>
    </w:p>
    <w:bookmarkStart w:id="3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India Bangalore (Bengaluru), Karnataka</w:t>
      </w:r>
    </w:p>
    <w:p>
      <w:pPr>
        <w:pStyle w:val="BodyText"/>
      </w:pPr>
      <w:r>
        <w:rPr>
          <w:bCs/>
          <w:b/>
        </w:rPr>
        <w:t xml:space="preserve">Role:</w:t>
      </w:r>
      <w:r>
        <w:t xml:space="preserve"> </w:t>
      </w:r>
      <w:r>
        <w:t xml:space="preserve">Telecommunication Engineer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methodologies, and safety guidelines for conducting telecommunications experiments in India Bangalore. The city of Bangalore, known as the "Silicon Valley of India," is a hub for technology and innovation, making it an ideal location for advanced telecommunications research and development. This protocol is designed for Telecommunication Engineers working in this dynamic environment, ensuring that all experiments are conducted with precision, safety, and compliance with local regulations.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standardized procedures for conducting telecommunications experiments in India Bangalore.</w:t>
      </w:r>
    </w:p>
    <w:p>
      <w:pPr>
        <w:numPr>
          <w:ilvl w:val="0"/>
          <w:numId w:val="1001"/>
        </w:numPr>
        <w:pStyle w:val="Compact"/>
      </w:pPr>
      <w:r>
        <w:t xml:space="preserve">To ensure the safety of personnel and equipment during experiments.</w:t>
      </w:r>
    </w:p>
    <w:p>
      <w:pPr>
        <w:numPr>
          <w:ilvl w:val="0"/>
          <w:numId w:val="1001"/>
        </w:numPr>
        <w:pStyle w:val="Compact"/>
      </w:pPr>
      <w:r>
        <w:t xml:space="preserve">To comply with Indian telecommunications regulations and standards.</w:t>
      </w:r>
    </w:p>
    <w:p>
      <w:pPr>
        <w:numPr>
          <w:ilvl w:val="0"/>
          <w:numId w:val="1001"/>
        </w:numPr>
        <w:pStyle w:val="Compact"/>
      </w:pPr>
      <w:r>
        <w:t xml:space="preserve">To facilitate accurate data collection and analysis for research and development purposes.</w:t>
      </w:r>
    </w:p>
    <w:p>
      <w:pPr>
        <w:numPr>
          <w:ilvl w:val="0"/>
          <w:numId w:val="1001"/>
        </w:numPr>
        <w:pStyle w:val="Compact"/>
      </w:pPr>
      <w:r>
        <w:t xml:space="preserve">To promote innovation and efficiency in telecommunications engineering practices.</w:t>
      </w:r>
    </w:p>
    <w:bookmarkEnd w:id="21"/>
    <w:bookmarkStart w:id="22" w:name="scope"/>
    <w:p>
      <w:pPr>
        <w:pStyle w:val="Heading2"/>
      </w:pPr>
      <w:r>
        <w:t xml:space="preserve">3. Scope</w:t>
      </w:r>
    </w:p>
    <w:p>
      <w:pPr>
        <w:pStyle w:val="FirstParagraph"/>
      </w:pPr>
      <w:r>
        <w:t xml:space="preserve">This protocol applies to all Telecommunication Engineers, researchers, and support staff involved in telecommunications experiments within India Bangalore. It covers a wide range of activities, including but not limited to:</w:t>
      </w:r>
    </w:p>
    <w:p>
      <w:pPr>
        <w:numPr>
          <w:ilvl w:val="0"/>
          <w:numId w:val="1002"/>
        </w:numPr>
        <w:pStyle w:val="Compact"/>
      </w:pPr>
      <w:r>
        <w:t xml:space="preserve">Network performance testing</w:t>
      </w:r>
    </w:p>
    <w:p>
      <w:pPr>
        <w:numPr>
          <w:ilvl w:val="0"/>
          <w:numId w:val="1002"/>
        </w:numPr>
        <w:pStyle w:val="Compact"/>
      </w:pPr>
      <w:r>
        <w:t xml:space="preserve">Signal propagation studies</w:t>
      </w:r>
    </w:p>
    <w:p>
      <w:pPr>
        <w:numPr>
          <w:ilvl w:val="0"/>
          <w:numId w:val="1002"/>
        </w:numPr>
        <w:pStyle w:val="Compact"/>
      </w:pPr>
      <w:r>
        <w:t xml:space="preserve">Equipment calibration and validation</w:t>
      </w:r>
    </w:p>
    <w:p>
      <w:pPr>
        <w:numPr>
          <w:ilvl w:val="0"/>
          <w:numId w:val="1002"/>
        </w:numPr>
        <w:pStyle w:val="Compact"/>
      </w:pPr>
      <w:r>
        <w:t xml:space="preserve">Protocol development and testing</w:t>
      </w:r>
    </w:p>
    <w:p>
      <w:pPr>
        <w:numPr>
          <w:ilvl w:val="0"/>
          <w:numId w:val="1002"/>
        </w:numPr>
        <w:pStyle w:val="Compact"/>
      </w:pPr>
      <w:r>
        <w:t xml:space="preserve">Field trials and pilot projects</w:t>
      </w:r>
    </w:p>
    <w:bookmarkEnd w:id="22"/>
    <w:bookmarkStart w:id="23" w:name="regulatory-compliance"/>
    <w:p>
      <w:pPr>
        <w:pStyle w:val="Heading2"/>
      </w:pPr>
      <w:r>
        <w:t xml:space="preserve">4. Regulatory Compliance</w:t>
      </w:r>
    </w:p>
    <w:p>
      <w:pPr>
        <w:pStyle w:val="FirstParagraph"/>
      </w:pPr>
      <w:r>
        <w:t xml:space="preserve">All experiments must comply with the following regulations and standards:</w:t>
      </w:r>
    </w:p>
    <w:p>
      <w:pPr>
        <w:numPr>
          <w:ilvl w:val="0"/>
          <w:numId w:val="1003"/>
        </w:numPr>
        <w:pStyle w:val="Compact"/>
      </w:pPr>
      <w:r>
        <w:t xml:space="preserve">Telecommunications Act of India</w:t>
      </w:r>
    </w:p>
    <w:p>
      <w:pPr>
        <w:numPr>
          <w:ilvl w:val="0"/>
          <w:numId w:val="1003"/>
        </w:numPr>
        <w:pStyle w:val="Compact"/>
      </w:pPr>
      <w:r>
        <w:t xml:space="preserve">Guidelines issued by the Department of Telecommunications (DoT)</w:t>
      </w:r>
    </w:p>
    <w:p>
      <w:pPr>
        <w:numPr>
          <w:ilvl w:val="0"/>
          <w:numId w:val="1003"/>
        </w:numPr>
        <w:pStyle w:val="Compact"/>
      </w:pPr>
      <w:r>
        <w:t xml:space="preserve">Standards set by the Bureau of Indian Standards (BIS)</w:t>
      </w:r>
    </w:p>
    <w:p>
      <w:pPr>
        <w:numPr>
          <w:ilvl w:val="0"/>
          <w:numId w:val="1003"/>
        </w:numPr>
        <w:pStyle w:val="Compact"/>
      </w:pPr>
      <w:r>
        <w:t xml:space="preserve">Local municipal regulations in Bangalore</w:t>
      </w:r>
    </w:p>
    <w:p>
      <w:pPr>
        <w:numPr>
          <w:ilvl w:val="0"/>
          <w:numId w:val="1003"/>
        </w:numPr>
        <w:pStyle w:val="Compact"/>
      </w:pPr>
      <w:r>
        <w:t xml:space="preserve">International Telecommunication Union (ITU) recommendations</w:t>
      </w:r>
    </w:p>
    <w:p>
      <w:pPr>
        <w:pStyle w:val="FirstParagraph"/>
      </w:pPr>
      <w:r>
        <w:t xml:space="preserve">Telecommunication Engineers must obtain necessary permits and approvals before conducting any experiments that involve public networks or infrastructure.</w:t>
      </w:r>
    </w:p>
    <w:bookmarkEnd w:id="23"/>
    <w:bookmarkStart w:id="24" w:name="safety-guidelines"/>
    <w:p>
      <w:pPr>
        <w:pStyle w:val="Heading2"/>
      </w:pPr>
      <w:r>
        <w:t xml:space="preserve">5. Safety Guidelines</w:t>
      </w:r>
    </w:p>
    <w:p>
      <w:pPr>
        <w:pStyle w:val="FirstParagraph"/>
      </w:pPr>
      <w:r>
        <w:t xml:space="preserve">Safety is paramount in all telecommunications experiments. The following guidelines must be strictly followed:</w:t>
      </w:r>
    </w:p>
    <w:p>
      <w:pPr>
        <w:numPr>
          <w:ilvl w:val="0"/>
          <w:numId w:val="1004"/>
        </w:numPr>
        <w:pStyle w:val="Compact"/>
      </w:pPr>
      <w:r>
        <w:t xml:space="preserve">Wear appropriate personal protective equipment (PPE) at all times.</w:t>
      </w:r>
    </w:p>
    <w:p>
      <w:pPr>
        <w:numPr>
          <w:ilvl w:val="0"/>
          <w:numId w:val="1004"/>
        </w:numPr>
        <w:pStyle w:val="Compact"/>
      </w:pPr>
      <w:r>
        <w:t xml:space="preserve">Ensure all equipment is properly grounded and insulated.</w:t>
      </w:r>
    </w:p>
    <w:p>
      <w:pPr>
        <w:numPr>
          <w:ilvl w:val="0"/>
          <w:numId w:val="1004"/>
        </w:numPr>
        <w:pStyle w:val="Compact"/>
      </w:pPr>
      <w:r>
        <w:t xml:space="preserve">Conduct regular safety inspections of the experimental setup.</w:t>
      </w:r>
    </w:p>
    <w:p>
      <w:pPr>
        <w:numPr>
          <w:ilvl w:val="0"/>
          <w:numId w:val="1004"/>
        </w:numPr>
        <w:pStyle w:val="Compact"/>
      </w:pPr>
      <w:r>
        <w:t xml:space="preserve">Be aware of potential hazards such as high voltage, radio frequency (RF) exposure, and confined spaces.</w:t>
      </w:r>
    </w:p>
    <w:p>
      <w:pPr>
        <w:numPr>
          <w:ilvl w:val="0"/>
          <w:numId w:val="1004"/>
        </w:numPr>
        <w:pStyle w:val="Compact"/>
      </w:pPr>
      <w:r>
        <w:t xml:space="preserve">Have emergency procedures in place and ensure all personnel are trained in their execution.</w:t>
      </w:r>
    </w:p>
    <w:bookmarkEnd w:id="24"/>
    <w:bookmarkStart w:id="25" w:name="experimental-setup"/>
    <w:p>
      <w:pPr>
        <w:pStyle w:val="Heading2"/>
      </w:pPr>
      <w:r>
        <w:t xml:space="preserve">6. Experimental Setup</w:t>
      </w:r>
    </w:p>
    <w:p>
      <w:pPr>
        <w:pStyle w:val="FirstParagraph"/>
      </w:pPr>
      <w:r>
        <w:t xml:space="preserve">The experimental setup should be designed to meet the specific requirements of the experiment while adhering to best practices in telecommunications engineering. Key considerations include:</w:t>
      </w:r>
    </w:p>
    <w:p>
      <w:pPr>
        <w:numPr>
          <w:ilvl w:val="0"/>
          <w:numId w:val="1005"/>
        </w:numPr>
        <w:pStyle w:val="Compact"/>
      </w:pPr>
      <w:r>
        <w:t xml:space="preserve">Selection of appropriate equipment and tools.</w:t>
      </w:r>
    </w:p>
    <w:p>
      <w:pPr>
        <w:numPr>
          <w:ilvl w:val="0"/>
          <w:numId w:val="1005"/>
        </w:numPr>
        <w:pStyle w:val="Compact"/>
      </w:pPr>
      <w:r>
        <w:t xml:space="preserve">Calibration of instruments to ensure accuracy.</w:t>
      </w:r>
    </w:p>
    <w:p>
      <w:pPr>
        <w:numPr>
          <w:ilvl w:val="0"/>
          <w:numId w:val="1005"/>
        </w:numPr>
        <w:pStyle w:val="Compact"/>
      </w:pPr>
      <w:r>
        <w:t xml:space="preserve">Proper configuration of network parameters.</w:t>
      </w:r>
    </w:p>
    <w:p>
      <w:pPr>
        <w:numPr>
          <w:ilvl w:val="0"/>
          <w:numId w:val="1005"/>
        </w:numPr>
        <w:pStyle w:val="Compact"/>
      </w:pPr>
      <w:r>
        <w:t xml:space="preserve">Implementation of data logging and monitoring systems.</w:t>
      </w:r>
    </w:p>
    <w:p>
      <w:pPr>
        <w:numPr>
          <w:ilvl w:val="0"/>
          <w:numId w:val="1005"/>
        </w:numPr>
        <w:pStyle w:val="Compact"/>
      </w:pPr>
      <w:r>
        <w:t xml:space="preserve">Ensuring minimal interference with existing telecommunications infrastructure.</w:t>
      </w:r>
    </w:p>
    <w:bookmarkEnd w:id="25"/>
    <w:bookmarkStart w:id="26" w:name="procedure"/>
    <w:p>
      <w:pPr>
        <w:pStyle w:val="Heading2"/>
      </w:pPr>
      <w:r>
        <w:t xml:space="preserve">7. Procedure</w:t>
      </w:r>
    </w:p>
    <w:p>
      <w:pPr>
        <w:pStyle w:val="FirstParagraph"/>
      </w:pPr>
      <w:r>
        <w:t xml:space="preserve">The following steps outline the general procedure for conducting telecommunications experiments:</w:t>
      </w:r>
    </w:p>
    <w:p>
      <w:pPr>
        <w:numPr>
          <w:ilvl w:val="0"/>
          <w:numId w:val="1006"/>
        </w:numPr>
        <w:pStyle w:val="Compact"/>
      </w:pPr>
      <w:r>
        <w:rPr>
          <w:bCs/>
          <w:b/>
        </w:rPr>
        <w:t xml:space="preserve">Preparation:</w:t>
      </w:r>
      <w:r>
        <w:t xml:space="preserve"> </w:t>
      </w:r>
      <w:r>
        <w:t xml:space="preserve">Define the objectives, scope, and methodology of the experiment. Obtain necessary approvals and permits.</w:t>
      </w:r>
    </w:p>
    <w:p>
      <w:pPr>
        <w:numPr>
          <w:ilvl w:val="0"/>
          <w:numId w:val="1006"/>
        </w:numPr>
        <w:pStyle w:val="Compact"/>
      </w:pPr>
      <w:r>
        <w:rPr>
          <w:bCs/>
          <w:b/>
        </w:rPr>
        <w:t xml:space="preserve">Setup:</w:t>
      </w:r>
      <w:r>
        <w:t xml:space="preserve"> </w:t>
      </w:r>
      <w:r>
        <w:t xml:space="preserve">Assemble and configure the experimental setup according to the design specifications.</w:t>
      </w:r>
    </w:p>
    <w:p>
      <w:pPr>
        <w:numPr>
          <w:ilvl w:val="0"/>
          <w:numId w:val="1006"/>
        </w:numPr>
        <w:pStyle w:val="Compact"/>
      </w:pPr>
      <w:r>
        <w:rPr>
          <w:bCs/>
          <w:b/>
        </w:rPr>
        <w:t xml:space="preserve">Calibration:</w:t>
      </w:r>
      <w:r>
        <w:t xml:space="preserve"> </w:t>
      </w:r>
      <w:r>
        <w:t xml:space="preserve">Calibrate all instruments and equipment to ensure accurate measurements.</w:t>
      </w:r>
    </w:p>
    <w:p>
      <w:pPr>
        <w:numPr>
          <w:ilvl w:val="0"/>
          <w:numId w:val="1006"/>
        </w:numPr>
        <w:pStyle w:val="Compact"/>
      </w:pPr>
      <w:r>
        <w:rPr>
          <w:bCs/>
          <w:b/>
        </w:rPr>
        <w:t xml:space="preserve">Execution:</w:t>
      </w:r>
      <w:r>
        <w:t xml:space="preserve"> </w:t>
      </w:r>
      <w:r>
        <w:t xml:space="preserve">Conduct the experiment according to the predefined methodology. Monitor the setup continuously for any anomalies.</w:t>
      </w:r>
    </w:p>
    <w:p>
      <w:pPr>
        <w:numPr>
          <w:ilvl w:val="0"/>
          <w:numId w:val="1006"/>
        </w:numPr>
        <w:pStyle w:val="Compact"/>
      </w:pPr>
      <w:r>
        <w:rPr>
          <w:bCs/>
          <w:b/>
        </w:rPr>
        <w:t xml:space="preserve">Data Collection:</w:t>
      </w:r>
      <w:r>
        <w:t xml:space="preserve"> </w:t>
      </w:r>
      <w:r>
        <w:t xml:space="preserve">Record all relevant data systematically. Ensure data integrity and completeness.</w:t>
      </w:r>
    </w:p>
    <w:p>
      <w:pPr>
        <w:numPr>
          <w:ilvl w:val="0"/>
          <w:numId w:val="1006"/>
        </w:numPr>
        <w:pStyle w:val="Compact"/>
      </w:pPr>
      <w:r>
        <w:rPr>
          <w:bCs/>
          <w:b/>
        </w:rPr>
        <w:t xml:space="preserve">Analysis:</w:t>
      </w:r>
      <w:r>
        <w:t xml:space="preserve"> </w:t>
      </w:r>
      <w:r>
        <w:t xml:space="preserve">Analyze the collected data to draw meaningful conclusions. Use appropriate statistical methods and tools.</w:t>
      </w:r>
    </w:p>
    <w:p>
      <w:pPr>
        <w:numPr>
          <w:ilvl w:val="0"/>
          <w:numId w:val="1006"/>
        </w:numPr>
        <w:pStyle w:val="Compact"/>
      </w:pPr>
      <w:r>
        <w:rPr>
          <w:bCs/>
          <w:b/>
        </w:rPr>
        <w:t xml:space="preserve">Reporting:</w:t>
      </w:r>
      <w:r>
        <w:t xml:space="preserve"> </w:t>
      </w:r>
      <w:r>
        <w:t xml:space="preserve">Prepare a detailed report documenting the experiment, results, and findings. Share the report with relevant stakeholders.</w:t>
      </w:r>
    </w:p>
    <w:bookmarkEnd w:id="26"/>
    <w:bookmarkStart w:id="27" w:name="data-management"/>
    <w:p>
      <w:pPr>
        <w:pStyle w:val="Heading2"/>
      </w:pPr>
      <w:r>
        <w:t xml:space="preserve">8. Data Management</w:t>
      </w:r>
    </w:p>
    <w:p>
      <w:pPr>
        <w:pStyle w:val="FirstParagraph"/>
      </w:pPr>
      <w:r>
        <w:t xml:space="preserve">Effective data management is crucial for the success of telecommunications experiments. The following practices should be followed:</w:t>
      </w:r>
    </w:p>
    <w:p>
      <w:pPr>
        <w:numPr>
          <w:ilvl w:val="0"/>
          <w:numId w:val="1007"/>
        </w:numPr>
        <w:pStyle w:val="Compact"/>
      </w:pPr>
      <w:r>
        <w:t xml:space="preserve">Use standardized formats for data storage and exchange.</w:t>
      </w:r>
    </w:p>
    <w:p>
      <w:pPr>
        <w:numPr>
          <w:ilvl w:val="0"/>
          <w:numId w:val="1007"/>
        </w:numPr>
        <w:pStyle w:val="Compact"/>
      </w:pPr>
      <w:r>
        <w:t xml:space="preserve">Implement robust backup and recovery procedures.</w:t>
      </w:r>
    </w:p>
    <w:p>
      <w:pPr>
        <w:numPr>
          <w:ilvl w:val="0"/>
          <w:numId w:val="1007"/>
        </w:numPr>
        <w:pStyle w:val="Compact"/>
      </w:pPr>
      <w:r>
        <w:t xml:space="preserve">Ensure data security and confidentiality.</w:t>
      </w:r>
    </w:p>
    <w:p>
      <w:pPr>
        <w:numPr>
          <w:ilvl w:val="0"/>
          <w:numId w:val="1007"/>
        </w:numPr>
        <w:pStyle w:val="Compact"/>
      </w:pPr>
      <w:r>
        <w:t xml:space="preserve">Maintain detailed logs of all data-related activities.</w:t>
      </w:r>
    </w:p>
    <w:bookmarkEnd w:id="27"/>
    <w:bookmarkStart w:id="28" w:name="quality-assurance"/>
    <w:p>
      <w:pPr>
        <w:pStyle w:val="Heading2"/>
      </w:pPr>
      <w:r>
        <w:t xml:space="preserve">9. Quality Assurance</w:t>
      </w:r>
    </w:p>
    <w:p>
      <w:pPr>
        <w:pStyle w:val="FirstParagraph"/>
      </w:pPr>
      <w:r>
        <w:t xml:space="preserve">Quality assurance measures should be integrated into every stage of the experiment to ensure reliability and validity of results. Key practices include:</w:t>
      </w:r>
    </w:p>
    <w:p>
      <w:pPr>
        <w:numPr>
          <w:ilvl w:val="0"/>
          <w:numId w:val="1008"/>
        </w:numPr>
        <w:pStyle w:val="Compact"/>
      </w:pPr>
      <w:r>
        <w:t xml:space="preserve">Regular audits of the experimental process.</w:t>
      </w:r>
    </w:p>
    <w:p>
      <w:pPr>
        <w:numPr>
          <w:ilvl w:val="0"/>
          <w:numId w:val="1008"/>
        </w:numPr>
        <w:pStyle w:val="Compact"/>
      </w:pPr>
      <w:r>
        <w:t xml:space="preserve">Peer reviews of experimental designs and results.</w:t>
      </w:r>
    </w:p>
    <w:p>
      <w:pPr>
        <w:numPr>
          <w:ilvl w:val="0"/>
          <w:numId w:val="1008"/>
        </w:numPr>
        <w:pStyle w:val="Compact"/>
      </w:pPr>
      <w:r>
        <w:t xml:space="preserve">Continuous improvement based on feedback and lessons learned.</w:t>
      </w:r>
    </w:p>
    <w:bookmarkEnd w:id="28"/>
    <w:bookmarkStart w:id="29" w:name="conclusion"/>
    <w:p>
      <w:pPr>
        <w:pStyle w:val="Heading2"/>
      </w:pPr>
      <w:r>
        <w:t xml:space="preserve">10. Conclusion</w:t>
      </w:r>
    </w:p>
    <w:p>
      <w:pPr>
        <w:pStyle w:val="FirstParagraph"/>
      </w:pPr>
      <w:r>
        <w:t xml:space="preserve">This Experiment Protocol provides a comprehensive framework for Telecommunication Engineers conducting experiments in India Bangalore. By adhering to these guidelines, engineers can ensure that their work is safe, compliant, and scientifically rigorous. The dynamic technological landscape of Bangalore offers unique opportunities for innovation, and this protocol aims to support engineers in leveraging these opportunities effectively.</w:t>
      </w:r>
    </w:p>
    <w:p>
      <w:pPr>
        <w:pStyle w:val="BodyText"/>
      </w:pPr>
      <w:r>
        <w:t xml:space="preserve">Note: This document should be reviewed and updated regularly to reflect changes in regulations, technologies, and best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India Bangalore</dc:title>
  <dc:creator/>
  <dc:language>en</dc:language>
  <cp:keywords/>
  <dcterms:created xsi:type="dcterms:W3CDTF">2026-10-10T02:10:02Z</dcterms:created>
  <dcterms:modified xsi:type="dcterms:W3CDTF">2026-10-10T02:10:02Z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