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w:t>
      </w:r>
      <w:r>
        <w:t xml:space="preserve"> </w:t>
      </w:r>
      <w:r>
        <w:t xml:space="preserve">Indonesia</w:t>
      </w:r>
      <w:r>
        <w:t xml:space="preserve"> </w:t>
      </w:r>
      <w:r>
        <w:t xml:space="preserve">Jakarta</w:t>
      </w:r>
    </w:p>
    <w:p>
      <w:pPr>
        <w:pStyle w:val="FirstParagraph"/>
      </w:pPr>
      <w:r>
        <w:rPr>
          <w:bCs/>
          <w:b/>
        </w:rPr>
        <w:t xml:space="preserve">Document Title:</w:t>
      </w:r>
      <w:r>
        <w:t xml:space="preserve"> </w:t>
      </w:r>
      <w:r>
        <w:t xml:space="preserve">Experiment Protocol for Telecommunication Engineer Field Testing</w:t>
      </w:r>
    </w:p>
    <w:p>
      <w:pPr>
        <w:pStyle w:val="BodyText"/>
      </w:pPr>
      <w:r>
        <w:rPr>
          <w:bCs/>
          <w:b/>
        </w:rPr>
        <w:t xml:space="preserve">Location:</w:t>
      </w:r>
      <w:r>
        <w:t xml:space="preserve"> </w:t>
      </w:r>
      <w:r>
        <w:t xml:space="preserve">Indonesia Jakarta (Greater Jakarta Area)</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2023</w:t>
      </w:r>
    </w:p>
    <w:bookmarkStart w:id="39" w:name="Xd2107722d92d5033dbd0fe81b0e63a6c064fd03"/>
    <w:p>
      <w:pPr>
        <w:pStyle w:val="Heading1"/>
      </w:pPr>
      <w:r>
        <w:t xml:space="preserve">Experiment Protocol: Telecommunication Engineer</w:t>
      </w:r>
    </w:p>
    <w:p>
      <w:pPr>
        <w:pStyle w:val="FirstParagraph"/>
      </w:pPr>
      <w:r>
        <w:t xml:space="preserve">This document outlines the standardized Experiment Protocol for a Telecommunication Engineer conducting field tests, network optimization, and signal propagation analysis within the urban and suburban environments of Indonesia Jakarta. This protocol ensures data integrity, safety compliance, and alignment with local telecommunications regulations.</w:t>
      </w:r>
    </w:p>
    <w:bookmarkStart w:id="20" w:name="objective"/>
    <w:p>
      <w:pPr>
        <w:pStyle w:val="Heading2"/>
      </w:pPr>
      <w:r>
        <w:t xml:space="preserve">1. Objective</w:t>
      </w:r>
    </w:p>
    <w:p>
      <w:pPr>
        <w:pStyle w:val="FirstParagraph"/>
      </w:pPr>
      <w:r>
        <w:t xml:space="preserve">The primary objective of this experiment is to evaluate the performance of 5G and LTE networks under varying urban density conditions typical of Indonesia Jakarta. The Telecommunication Engineer will assess signal strength, latency, throughput, and interference levels across key districts including Central Jakarta, South Jakarta, and the outskirts of Tangerang and Bekasi.</w:t>
      </w:r>
    </w:p>
    <w:bookmarkEnd w:id="20"/>
    <w:bookmarkStart w:id="21" w:name="scope"/>
    <w:p>
      <w:pPr>
        <w:pStyle w:val="Heading2"/>
      </w:pPr>
      <w:r>
        <w:t xml:space="preserve">2. Scope</w:t>
      </w:r>
    </w:p>
    <w:p>
      <w:pPr>
        <w:pStyle w:val="FirstParagraph"/>
      </w:pPr>
      <w:r>
        <w:t xml:space="preserve">This Experiment Protocol applies to all Telecommunication Engineers involved in the project. It covers:</w:t>
      </w:r>
    </w:p>
    <w:p>
      <w:pPr>
        <w:numPr>
          <w:ilvl w:val="0"/>
          <w:numId w:val="1001"/>
        </w:numPr>
        <w:pStyle w:val="Compact"/>
      </w:pPr>
      <w:r>
        <w:t xml:space="preserve">Pre-deployment equipment checks.</w:t>
      </w:r>
    </w:p>
    <w:p>
      <w:pPr>
        <w:numPr>
          <w:ilvl w:val="0"/>
          <w:numId w:val="1001"/>
        </w:numPr>
        <w:pStyle w:val="Compact"/>
      </w:pPr>
      <w:r>
        <w:t xml:space="preserve">Field testing procedures in Indonesia Jakarta.</w:t>
      </w:r>
    </w:p>
    <w:p>
      <w:pPr>
        <w:numPr>
          <w:ilvl w:val="0"/>
          <w:numId w:val="1001"/>
        </w:numPr>
        <w:pStyle w:val="Compact"/>
      </w:pPr>
      <w:r>
        <w:t xml:space="preserve">Data collection and logging standards.</w:t>
      </w:r>
    </w:p>
    <w:p>
      <w:pPr>
        <w:numPr>
          <w:ilvl w:val="0"/>
          <w:numId w:val="1001"/>
        </w:numPr>
        <w:pStyle w:val="Compact"/>
      </w:pPr>
      <w:r>
        <w:t xml:space="preserve">Safety and regulatory compliance.</w:t>
      </w:r>
    </w:p>
    <w:p>
      <w:pPr>
        <w:numPr>
          <w:ilvl w:val="0"/>
          <w:numId w:val="1001"/>
        </w:numPr>
        <w:pStyle w:val="Compact"/>
      </w:pPr>
      <w:r>
        <w:t xml:space="preserve">Post-experiment data analysis.</w:t>
      </w:r>
    </w:p>
    <w:bookmarkEnd w:id="21"/>
    <w:bookmarkStart w:id="22" w:name="equipment-and-tools"/>
    <w:p>
      <w:pPr>
        <w:pStyle w:val="Heading2"/>
      </w:pPr>
      <w:r>
        <w:t xml:space="preserve">3. Equipment and Tools</w:t>
      </w:r>
    </w:p>
    <w:p>
      <w:pPr>
        <w:pStyle w:val="FirstParagraph"/>
      </w:pPr>
      <w:r>
        <w:t xml:space="preserve">The Telecommunication Engineer must use calibrated and certified equipment. Required tools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Spectrum Analyzer</w:t>
            </w:r>
          </w:p>
        </w:tc>
        <w:tc>
          <w:tcPr/>
          <w:p>
            <w:pPr>
              <w:pStyle w:val="Compact"/>
              <w:jc w:val="left"/>
            </w:pPr>
            <w:r>
              <w:t xml:space="preserve">Frequency range: 700 MHz – 6 GHz</w:t>
            </w:r>
          </w:p>
        </w:tc>
        <w:tc>
          <w:tcPr/>
          <w:p>
            <w:pPr>
              <w:pStyle w:val="Compact"/>
              <w:jc w:val="left"/>
            </w:pPr>
            <w:r>
              <w:t xml:space="preserve">1</w:t>
            </w:r>
          </w:p>
        </w:tc>
      </w:tr>
      <w:tr>
        <w:tc>
          <w:tcPr/>
          <w:p>
            <w:pPr>
              <w:pStyle w:val="Compact"/>
              <w:jc w:val="left"/>
            </w:pPr>
            <w:r>
              <w:t xml:space="preserve">Signal Generator</w:t>
            </w:r>
          </w:p>
        </w:tc>
        <w:tc>
          <w:tcPr/>
          <w:p>
            <w:pPr>
              <w:pStyle w:val="Compact"/>
              <w:jc w:val="left"/>
            </w:pPr>
            <w:r>
              <w:t xml:space="preserve">Calibrated for 5G NR and LTE bands</w:t>
            </w:r>
          </w:p>
        </w:tc>
        <w:tc>
          <w:tcPr/>
          <w:p>
            <w:pPr>
              <w:pStyle w:val="Compact"/>
              <w:jc w:val="left"/>
            </w:pPr>
            <w:r>
              <w:t xml:space="preserve">1</w:t>
            </w:r>
          </w:p>
        </w:tc>
      </w:tr>
      <w:tr>
        <w:tc>
          <w:tcPr/>
          <w:p>
            <w:pPr>
              <w:pStyle w:val="Compact"/>
              <w:jc w:val="left"/>
            </w:pPr>
            <w:r>
              <w:t xml:space="preserve">GPS Receiver</w:t>
            </w:r>
          </w:p>
        </w:tc>
        <w:tc>
          <w:tcPr/>
          <w:p>
            <w:pPr>
              <w:pStyle w:val="Compact"/>
              <w:jc w:val="left"/>
            </w:pPr>
            <w:r>
              <w:t xml:space="preserve">High-precision, real-time kinematic (RTK)</w:t>
            </w:r>
          </w:p>
        </w:tc>
        <w:tc>
          <w:tcPr/>
          <w:p>
            <w:pPr>
              <w:pStyle w:val="Compact"/>
              <w:jc w:val="left"/>
            </w:pPr>
            <w:r>
              <w:t xml:space="preserve">1</w:t>
            </w:r>
          </w:p>
        </w:tc>
      </w:tr>
      <w:tr>
        <w:tc>
          <w:tcPr/>
          <w:p>
            <w:pPr>
              <w:pStyle w:val="Compact"/>
              <w:jc w:val="left"/>
            </w:pPr>
            <w:r>
              <w:t xml:space="preserve">Test Smartphones</w:t>
            </w:r>
          </w:p>
        </w:tc>
        <w:tc>
          <w:tcPr/>
          <w:p>
            <w:pPr>
              <w:pStyle w:val="Compact"/>
              <w:jc w:val="left"/>
            </w:pPr>
            <w:r>
              <w:t xml:space="preserve">5G-capable, multiple models</w:t>
            </w:r>
          </w:p>
        </w:tc>
        <w:tc>
          <w:tcPr/>
          <w:p>
            <w:pPr>
              <w:pStyle w:val="Compact"/>
              <w:jc w:val="left"/>
            </w:pPr>
            <w:r>
              <w:t xml:space="preserve">3</w:t>
            </w:r>
          </w:p>
        </w:tc>
      </w:tr>
      <w:tr>
        <w:tc>
          <w:tcPr/>
          <w:p>
            <w:pPr>
              <w:pStyle w:val="Compact"/>
              <w:jc w:val="left"/>
            </w:pPr>
            <w:r>
              <w:t xml:space="preserve">Power Supply</w:t>
            </w:r>
          </w:p>
        </w:tc>
        <w:tc>
          <w:tcPr/>
          <w:p>
            <w:pPr>
              <w:pStyle w:val="Compact"/>
              <w:jc w:val="left"/>
            </w:pPr>
            <w:r>
              <w:t xml:space="preserve">Portable battery pack, 20,000 mAh minimum</w:t>
            </w:r>
          </w:p>
        </w:tc>
        <w:tc>
          <w:tcPr/>
          <w:p>
            <w:pPr>
              <w:pStyle w:val="Compact"/>
              <w:jc w:val="left"/>
            </w:pPr>
            <w:r>
              <w:t xml:space="preserve">2</w:t>
            </w:r>
          </w:p>
        </w:tc>
      </w:tr>
      <w:tr>
        <w:tc>
          <w:tcPr/>
          <w:p>
            <w:pPr>
              <w:pStyle w:val="Compact"/>
              <w:jc w:val="left"/>
            </w:pPr>
            <w:r>
              <w:t xml:space="preserve">Personal Protective Equipment (PPE)</w:t>
            </w:r>
          </w:p>
        </w:tc>
        <w:tc>
          <w:tcPr/>
          <w:p>
            <w:pPr>
              <w:pStyle w:val="Compact"/>
              <w:jc w:val="left"/>
            </w:pPr>
            <w:r>
              <w:t xml:space="preserve">Helmet, reflective vest, safety shoes</w:t>
            </w:r>
          </w:p>
        </w:tc>
        <w:tc>
          <w:tcPr/>
          <w:p>
            <w:pPr>
              <w:pStyle w:val="Compact"/>
              <w:jc w:val="left"/>
            </w:pPr>
            <w:r>
              <w:t xml:space="preserve">1 set</w:t>
            </w:r>
          </w:p>
        </w:tc>
      </w:tr>
    </w:tbl>
    <w:bookmarkEnd w:id="22"/>
    <w:bookmarkStart w:id="26" w:name="pre-experiment-procedures"/>
    <w:p>
      <w:pPr>
        <w:pStyle w:val="Heading2"/>
      </w:pPr>
      <w:r>
        <w:t xml:space="preserve">4. Pre-Experiment Procedures</w:t>
      </w:r>
    </w:p>
    <w:bookmarkStart w:id="23" w:name="regulatory-compliance"/>
    <w:p>
      <w:pPr>
        <w:pStyle w:val="Heading3"/>
      </w:pPr>
      <w:r>
        <w:t xml:space="preserve">4.1 Regulatory Compliance</w:t>
      </w:r>
    </w:p>
    <w:p>
      <w:pPr>
        <w:pStyle w:val="FirstParagraph"/>
      </w:pPr>
      <w:r>
        <w:t xml:space="preserve">Before commencing any fieldwork in Indonesia Jakarta, the Telecommunication Engineer must ensure compliance with the Indonesian Ministry of Communication and Information (Kominfo) regulations. This includes obtaining necessary permits for spectrum usage and field testing.</w:t>
      </w:r>
    </w:p>
    <w:bookmarkEnd w:id="23"/>
    <w:bookmarkStart w:id="24" w:name="equipment-calibration"/>
    <w:p>
      <w:pPr>
        <w:pStyle w:val="Heading3"/>
      </w:pPr>
      <w:r>
        <w:t xml:space="preserve">4.2 Equipment Calibration</w:t>
      </w:r>
    </w:p>
    <w:p>
      <w:pPr>
        <w:pStyle w:val="FirstParagraph"/>
      </w:pPr>
      <w:r>
        <w:t xml:space="preserve">All measurement devices must be calibrated according to manufacturer specifications. Calibration certificates must be valid and on hand during the experiment.</w:t>
      </w:r>
    </w:p>
    <w:bookmarkEnd w:id="24"/>
    <w:bookmarkStart w:id="25" w:name="route-planning"/>
    <w:p>
      <w:pPr>
        <w:pStyle w:val="Heading3"/>
      </w:pPr>
      <w:r>
        <w:t xml:space="preserve">4.3 Route Planning</w:t>
      </w:r>
    </w:p>
    <w:p>
      <w:pPr>
        <w:pStyle w:val="FirstParagraph"/>
      </w:pPr>
      <w:r>
        <w:t xml:space="preserve">The Telecommunication Engineer will plan test routes covering:</w:t>
      </w:r>
    </w:p>
    <w:p>
      <w:pPr>
        <w:numPr>
          <w:ilvl w:val="0"/>
          <w:numId w:val="1002"/>
        </w:numPr>
        <w:pStyle w:val="Compact"/>
      </w:pPr>
      <w:r>
        <w:t xml:space="preserve">High-density urban areas (e.g., Sudirman, Kuningan).</w:t>
      </w:r>
    </w:p>
    <w:p>
      <w:pPr>
        <w:numPr>
          <w:ilvl w:val="0"/>
          <w:numId w:val="1002"/>
        </w:numPr>
        <w:pStyle w:val="Compact"/>
      </w:pPr>
      <w:r>
        <w:t xml:space="preserve">Residential zones (e.g., Menteng, Tebet).</w:t>
      </w:r>
    </w:p>
    <w:p>
      <w:pPr>
        <w:numPr>
          <w:ilvl w:val="0"/>
          <w:numId w:val="1002"/>
        </w:numPr>
        <w:pStyle w:val="Compact"/>
      </w:pPr>
      <w:r>
        <w:t xml:space="preserve">Industrial areas (e.g., Cakung, Pulogadung).</w:t>
      </w:r>
    </w:p>
    <w:p>
      <w:pPr>
        <w:numPr>
          <w:ilvl w:val="0"/>
          <w:numId w:val="1002"/>
        </w:numPr>
        <w:pStyle w:val="Compact"/>
      </w:pPr>
      <w:r>
        <w:t xml:space="preserve">Suburban and peri-urban regions (e.g., Depok, Bekasi).</w:t>
      </w:r>
    </w:p>
    <w:p>
      <w:pPr>
        <w:pStyle w:val="FirstParagraph"/>
      </w:pPr>
      <w:r>
        <w:t xml:space="preserve">Routes must be mapped using GPS and approved by the project manager.</w:t>
      </w:r>
    </w:p>
    <w:bookmarkEnd w:id="25"/>
    <w:bookmarkEnd w:id="26"/>
    <w:bookmarkStart w:id="31" w:name="experiment-procedures"/>
    <w:p>
      <w:pPr>
        <w:pStyle w:val="Heading2"/>
      </w:pPr>
      <w:r>
        <w:t xml:space="preserve">5. Experiment Procedures</w:t>
      </w:r>
    </w:p>
    <w:bookmarkStart w:id="27" w:name="signal-strength-measurement"/>
    <w:p>
      <w:pPr>
        <w:pStyle w:val="Heading3"/>
      </w:pPr>
      <w:r>
        <w:t xml:space="preserve">5.1 Signal Strength Measurement</w:t>
      </w:r>
    </w:p>
    <w:p>
      <w:pPr>
        <w:pStyle w:val="FirstParagraph"/>
      </w:pPr>
      <w:r>
        <w:t xml:space="preserve">The Telecommunication Engineer will measure Reference Signal Received Power (RSRP) and Reference Signal Received Quality (RSRQ) at 100-meter intervals along the planned routes. Measurements will be taken at pedestrian level (1.5 meters above ground) and rooftop level where accessible.</w:t>
      </w:r>
    </w:p>
    <w:bookmarkEnd w:id="27"/>
    <w:bookmarkStart w:id="28" w:name="throughput-and-latency-testing"/>
    <w:p>
      <w:pPr>
        <w:pStyle w:val="Heading3"/>
      </w:pPr>
      <w:r>
        <w:t xml:space="preserve">5.2 Throughput and Latency Testing</w:t>
      </w:r>
    </w:p>
    <w:p>
      <w:pPr>
        <w:pStyle w:val="FirstParagraph"/>
      </w:pPr>
      <w:r>
        <w:t xml:space="preserve">Using test smartphones and dedicated software, the Telecommunication Engineer will perform:</w:t>
      </w:r>
    </w:p>
    <w:p>
      <w:pPr>
        <w:numPr>
          <w:ilvl w:val="0"/>
          <w:numId w:val="1003"/>
        </w:numPr>
        <w:pStyle w:val="Compact"/>
      </w:pPr>
      <w:r>
        <w:t xml:space="preserve">Download and upload speed tests.</w:t>
      </w:r>
    </w:p>
    <w:p>
      <w:pPr>
        <w:numPr>
          <w:ilvl w:val="0"/>
          <w:numId w:val="1003"/>
        </w:numPr>
        <w:pStyle w:val="Compact"/>
      </w:pPr>
      <w:r>
        <w:t xml:space="preserve">Latency (ping) tests.</w:t>
      </w:r>
    </w:p>
    <w:p>
      <w:pPr>
        <w:numPr>
          <w:ilvl w:val="0"/>
          <w:numId w:val="1003"/>
        </w:numPr>
        <w:pStyle w:val="Compact"/>
      </w:pPr>
      <w:r>
        <w:t xml:space="preserve">Jitter and packet loss analysis.</w:t>
      </w:r>
    </w:p>
    <w:p>
      <w:pPr>
        <w:pStyle w:val="FirstParagraph"/>
      </w:pPr>
      <w:r>
        <w:t xml:space="preserve">Each test will be repeated three times at each location to ensure statistical reliability.</w:t>
      </w:r>
    </w:p>
    <w:bookmarkEnd w:id="28"/>
    <w:bookmarkStart w:id="29" w:name="interference-and-spectrum-analysis"/>
    <w:p>
      <w:pPr>
        <w:pStyle w:val="Heading3"/>
      </w:pPr>
      <w:r>
        <w:t xml:space="preserve">5.3 Interference and Spectrum Analysis</w:t>
      </w:r>
    </w:p>
    <w:p>
      <w:pPr>
        <w:pStyle w:val="FirstParagraph"/>
      </w:pPr>
      <w:r>
        <w:t xml:space="preserve">The Telecommunication Engineer will use the spectrum analyzer to identify potential sources of interference, including:</w:t>
      </w:r>
    </w:p>
    <w:p>
      <w:pPr>
        <w:numPr>
          <w:ilvl w:val="0"/>
          <w:numId w:val="1004"/>
        </w:numPr>
        <w:pStyle w:val="Compact"/>
      </w:pPr>
      <w:r>
        <w:t xml:space="preserve">Adjacent channel interference.</w:t>
      </w:r>
    </w:p>
    <w:p>
      <w:pPr>
        <w:numPr>
          <w:ilvl w:val="0"/>
          <w:numId w:val="1004"/>
        </w:numPr>
        <w:pStyle w:val="Compact"/>
      </w:pPr>
      <w:r>
        <w:t xml:space="preserve">Non-licensed band congestion (e.g., Wi-Fi, IoT devices).</w:t>
      </w:r>
    </w:p>
    <w:p>
      <w:pPr>
        <w:numPr>
          <w:ilvl w:val="0"/>
          <w:numId w:val="1004"/>
        </w:numPr>
        <w:pStyle w:val="Compact"/>
      </w:pPr>
      <w:r>
        <w:t xml:space="preserve">Environmental factors unique to Indonesia Jakarta, such as high humidity and urban canyon effects.</w:t>
      </w:r>
    </w:p>
    <w:bookmarkEnd w:id="29"/>
    <w:bookmarkStart w:id="30" w:name="environmental-considerations"/>
    <w:p>
      <w:pPr>
        <w:pStyle w:val="Heading3"/>
      </w:pPr>
      <w:r>
        <w:t xml:space="preserve">5.4 Environmental Considerations</w:t>
      </w:r>
    </w:p>
    <w:p>
      <w:pPr>
        <w:pStyle w:val="FirstParagraph"/>
      </w:pPr>
      <w:r>
        <w:t xml:space="preserve">Given the tropical climate of Indonesia Jakarta, the Telecommunication Engineer must account for:</w:t>
      </w:r>
    </w:p>
    <w:p>
      <w:pPr>
        <w:numPr>
          <w:ilvl w:val="0"/>
          <w:numId w:val="1005"/>
        </w:numPr>
        <w:pStyle w:val="Compact"/>
      </w:pPr>
      <w:r>
        <w:t xml:space="preserve">High humidity affecting equipment performance.</w:t>
      </w:r>
    </w:p>
    <w:p>
      <w:pPr>
        <w:numPr>
          <w:ilvl w:val="0"/>
          <w:numId w:val="1005"/>
        </w:numPr>
        <w:pStyle w:val="Compact"/>
      </w:pPr>
      <w:r>
        <w:t xml:space="preserve">Heavy rainfall potentially impacting signal propagation.</w:t>
      </w:r>
    </w:p>
    <w:p>
      <w:pPr>
        <w:numPr>
          <w:ilvl w:val="0"/>
          <w:numId w:val="1005"/>
        </w:numPr>
        <w:pStyle w:val="Compact"/>
      </w:pPr>
      <w:r>
        <w:t xml:space="preserve">Urban heat islands influencing equipment temperature.</w:t>
      </w:r>
    </w:p>
    <w:p>
      <w:pPr>
        <w:pStyle w:val="FirstParagraph"/>
      </w:pPr>
      <w:r>
        <w:t xml:space="preserve">Equipment must be protected using weather-resistant enclosures when necessary.</w:t>
      </w:r>
    </w:p>
    <w:bookmarkEnd w:id="30"/>
    <w:bookmarkEnd w:id="31"/>
    <w:bookmarkStart w:id="32" w:name="data-collection-and-logging"/>
    <w:p>
      <w:pPr>
        <w:pStyle w:val="Heading2"/>
      </w:pPr>
      <w:r>
        <w:t xml:space="preserve">6. Data Collection and Logging</w:t>
      </w:r>
    </w:p>
    <w:p>
      <w:pPr>
        <w:pStyle w:val="FirstParagraph"/>
      </w:pPr>
      <w:r>
        <w:t xml:space="preserve">All data must be recorded in real-time using standardized digital logs. The Telecommunication Engineer will ensure:</w:t>
      </w:r>
    </w:p>
    <w:p>
      <w:pPr>
        <w:numPr>
          <w:ilvl w:val="0"/>
          <w:numId w:val="1006"/>
        </w:numPr>
        <w:pStyle w:val="Compact"/>
      </w:pPr>
      <w:r>
        <w:t xml:space="preserve">GPS coordinates are logged with each measurement.</w:t>
      </w:r>
    </w:p>
    <w:p>
      <w:pPr>
        <w:numPr>
          <w:ilvl w:val="0"/>
          <w:numId w:val="1006"/>
        </w:numPr>
        <w:pStyle w:val="Compact"/>
      </w:pPr>
      <w:r>
        <w:t xml:space="preserve">Timestamps are synchronized with UTC+7 (Indonesia Western Time).</w:t>
      </w:r>
    </w:p>
    <w:p>
      <w:pPr>
        <w:numPr>
          <w:ilvl w:val="0"/>
          <w:numId w:val="1006"/>
        </w:numPr>
        <w:pStyle w:val="Compact"/>
      </w:pPr>
      <w:r>
        <w:t xml:space="preserve">Environmental conditions (temperature, humidity, weather) are noted.</w:t>
      </w:r>
    </w:p>
    <w:p>
      <w:pPr>
        <w:numPr>
          <w:ilvl w:val="0"/>
          <w:numId w:val="1006"/>
        </w:numPr>
        <w:pStyle w:val="Compact"/>
      </w:pPr>
      <w:r>
        <w:t xml:space="preserve">Any anomalies or unexpected events are documented.</w:t>
      </w:r>
    </w:p>
    <w:bookmarkEnd w:id="32"/>
    <w:bookmarkStart w:id="33" w:name="safety-and-risk-management"/>
    <w:p>
      <w:pPr>
        <w:pStyle w:val="Heading2"/>
      </w:pPr>
      <w:r>
        <w:t xml:space="preserve">7. Safety and Risk Management</w:t>
      </w:r>
    </w:p>
    <w:p>
      <w:pPr>
        <w:pStyle w:val="FirstParagraph"/>
      </w:pPr>
      <w:r>
        <w:t xml:space="preserve">The Telecommunication Engineer must adhere to the following safety protocols:</w:t>
      </w:r>
    </w:p>
    <w:p>
      <w:pPr>
        <w:numPr>
          <w:ilvl w:val="0"/>
          <w:numId w:val="1007"/>
        </w:numPr>
        <w:pStyle w:val="Compact"/>
      </w:pPr>
      <w:r>
        <w:t xml:space="preserve">Wear appropriate PPE at all times during fieldwork.</w:t>
      </w:r>
    </w:p>
    <w:p>
      <w:pPr>
        <w:numPr>
          <w:ilvl w:val="0"/>
          <w:numId w:val="1007"/>
        </w:numPr>
        <w:pStyle w:val="Compact"/>
      </w:pPr>
      <w:r>
        <w:t xml:space="preserve">Avoid working alone; maintain communication with the base team.</w:t>
      </w:r>
    </w:p>
    <w:p>
      <w:pPr>
        <w:numPr>
          <w:ilvl w:val="0"/>
          <w:numId w:val="1007"/>
        </w:numPr>
        <w:pStyle w:val="Compact"/>
      </w:pPr>
      <w:r>
        <w:t xml:space="preserve">Be aware of traffic conditions in Indonesia Jakarta, which can be hazardous.</w:t>
      </w:r>
    </w:p>
    <w:p>
      <w:pPr>
        <w:numPr>
          <w:ilvl w:val="0"/>
          <w:numId w:val="1007"/>
        </w:numPr>
        <w:pStyle w:val="Compact"/>
      </w:pPr>
      <w:r>
        <w:t xml:space="preserve">Follow local laws and respect private property boundaries.</w:t>
      </w:r>
    </w:p>
    <w:p>
      <w:pPr>
        <w:numPr>
          <w:ilvl w:val="0"/>
          <w:numId w:val="1007"/>
        </w:numPr>
        <w:pStyle w:val="Compact"/>
      </w:pPr>
      <w:r>
        <w:t xml:space="preserve">Have a first aid kit and emergency contact list readily available.</w:t>
      </w:r>
    </w:p>
    <w:bookmarkEnd w:id="33"/>
    <w:bookmarkStart w:id="37" w:name="post-experiment-procedures"/>
    <w:p>
      <w:pPr>
        <w:pStyle w:val="Heading2"/>
      </w:pPr>
      <w:r>
        <w:t xml:space="preserve">8. Post-Experiment Procedures</w:t>
      </w:r>
    </w:p>
    <w:bookmarkStart w:id="34" w:name="data-backup-and-transfer"/>
    <w:p>
      <w:pPr>
        <w:pStyle w:val="Heading3"/>
      </w:pPr>
      <w:r>
        <w:t xml:space="preserve">8.1 Data Backup and Transfer</w:t>
      </w:r>
    </w:p>
    <w:p>
      <w:pPr>
        <w:pStyle w:val="FirstParagraph"/>
      </w:pPr>
      <w:r>
        <w:t xml:space="preserve">Upon completion of fieldwork, the Telecommunication Engineer will back up all data to secure servers and transfer logs to the central analysis team.</w:t>
      </w:r>
    </w:p>
    <w:bookmarkEnd w:id="34"/>
    <w:bookmarkStart w:id="35" w:name="equipment-inspection"/>
    <w:p>
      <w:pPr>
        <w:pStyle w:val="Heading3"/>
      </w:pPr>
      <w:r>
        <w:t xml:space="preserve">8.2 Equipment Inspection</w:t>
      </w:r>
    </w:p>
    <w:p>
      <w:pPr>
        <w:pStyle w:val="FirstParagraph"/>
      </w:pPr>
      <w:r>
        <w:t xml:space="preserve">All equipment will be inspected for damage or wear. Any issues will be reported and addressed promptly.</w:t>
      </w:r>
    </w:p>
    <w:bookmarkEnd w:id="35"/>
    <w:bookmarkStart w:id="36" w:name="reporting"/>
    <w:p>
      <w:pPr>
        <w:pStyle w:val="Heading3"/>
      </w:pPr>
      <w:r>
        <w:t xml:space="preserve">8.3 Reporting</w:t>
      </w:r>
    </w:p>
    <w:p>
      <w:pPr>
        <w:pStyle w:val="FirstParagraph"/>
      </w:pPr>
      <w:r>
        <w:t xml:space="preserve">The Telecommunication Engineer will compile a comprehensive report detailing:</w:t>
      </w:r>
    </w:p>
    <w:p>
      <w:pPr>
        <w:numPr>
          <w:ilvl w:val="0"/>
          <w:numId w:val="1008"/>
        </w:numPr>
        <w:pStyle w:val="Compact"/>
      </w:pPr>
      <w:r>
        <w:t xml:space="preserve">Summary of findings.</w:t>
      </w:r>
    </w:p>
    <w:p>
      <w:pPr>
        <w:numPr>
          <w:ilvl w:val="0"/>
          <w:numId w:val="1008"/>
        </w:numPr>
        <w:pStyle w:val="Compact"/>
      </w:pPr>
      <w:r>
        <w:t xml:space="preserve">Statistical analysis of network performance.</w:t>
      </w:r>
    </w:p>
    <w:p>
      <w:pPr>
        <w:numPr>
          <w:ilvl w:val="0"/>
          <w:numId w:val="1008"/>
        </w:numPr>
        <w:pStyle w:val="Compact"/>
      </w:pPr>
      <w:r>
        <w:t xml:space="preserve">Identification of problem areas in Indonesia Jakarta.</w:t>
      </w:r>
    </w:p>
    <w:p>
      <w:pPr>
        <w:numPr>
          <w:ilvl w:val="0"/>
          <w:numId w:val="1008"/>
        </w:numPr>
        <w:pStyle w:val="Compact"/>
      </w:pPr>
      <w:r>
        <w:t xml:space="preserve">Recommendations for network optimization.</w:t>
      </w:r>
    </w:p>
    <w:bookmarkEnd w:id="36"/>
    <w:bookmarkEnd w:id="37"/>
    <w:bookmarkStart w:id="38" w:name="conclusion"/>
    <w:p>
      <w:pPr>
        <w:pStyle w:val="Heading2"/>
      </w:pPr>
      <w:r>
        <w:t xml:space="preserve">9. Conclusion</w:t>
      </w:r>
    </w:p>
    <w:p>
      <w:pPr>
        <w:pStyle w:val="FirstParagraph"/>
      </w:pPr>
      <w:r>
        <w:t xml:space="preserve">This Experiment Protocol provides a structured approach for the Telecommunication Engineer to conduct rigorous and reliable field tests in Indonesia Jakarta. By following these guidelines, the engineer will contribute valuable insights to improve telecommunications infrastructure in one of Southeast Asia’s most dynamic urban environments.</w:t>
      </w:r>
    </w:p>
    <w:p>
      <w:pPr>
        <w:pStyle w:val="BodyText"/>
      </w:pPr>
      <w:r>
        <w:t xml:space="preserve">This document is subject to review and updates based on regulatory changes and technological advancements.</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 Indonesia Jakarta</dc:title>
  <dc:creator/>
  <dc:language>en</dc:language>
  <cp:keywords/>
  <dcterms:created xsi:type="dcterms:W3CDTF">2026-10-10T02:10:16Z</dcterms:created>
  <dcterms:modified xsi:type="dcterms:W3CDTF">2026-10-10T02:10:16Z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