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Tehran,</w:t>
      </w:r>
      <w:r>
        <w:t xml:space="preserve"> </w:t>
      </w:r>
      <w:r>
        <w:t xml:space="preserve">Iran</w:t>
      </w:r>
    </w:p>
    <w:bookmarkStart w:id="35"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Tehran, Iran</w:t>
      </w:r>
    </w:p>
    <w:p>
      <w:pPr>
        <w:pStyle w:val="BodyText"/>
      </w:pPr>
      <w:r>
        <w:rPr>
          <w:bCs/>
          <w:b/>
        </w:rPr>
        <w:t xml:space="preserve">Role:</w:t>
      </w:r>
      <w:r>
        <w:t xml:space="preserve"> </w:t>
      </w:r>
      <w:r>
        <w:t xml:space="preserve">Telecommunication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and methodologies for conducting experiments related to telecommunication systems in Tehran, Iran. The primary objective is to evaluate the performance, reliability, and efficiency of telecommunication networks under various conditions. This protocol is designed for Telecommunication Engineers working in the region, ensuring compliance with local regulations and standards.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signal strength and quality across different areas of Tehran.</w:t>
      </w:r>
    </w:p>
    <w:p>
      <w:pPr>
        <w:numPr>
          <w:ilvl w:val="0"/>
          <w:numId w:val="1001"/>
        </w:numPr>
        <w:pStyle w:val="Compact"/>
      </w:pPr>
      <w:r>
        <w:t xml:space="preserve">To evaluate the impact of urban infrastructure on telecommunication networks.</w:t>
      </w:r>
    </w:p>
    <w:p>
      <w:pPr>
        <w:numPr>
          <w:ilvl w:val="0"/>
          <w:numId w:val="1001"/>
        </w:numPr>
        <w:pStyle w:val="Compact"/>
      </w:pPr>
      <w:r>
        <w:t xml:space="preserve">To test the resilience of networks during peak usage times.</w:t>
      </w:r>
    </w:p>
    <w:p>
      <w:pPr>
        <w:numPr>
          <w:ilvl w:val="0"/>
          <w:numId w:val="1001"/>
        </w:numPr>
        <w:pStyle w:val="Compact"/>
      </w:pPr>
      <w:r>
        <w:t xml:space="preserve">To identify potential areas for network optimization and improvement.</w:t>
      </w:r>
    </w:p>
    <w:bookmarkEnd w:id="21"/>
    <w:bookmarkStart w:id="22" w:name="scope"/>
    <w:p>
      <w:pPr>
        <w:pStyle w:val="Heading2"/>
      </w:pPr>
      <w:r>
        <w:t xml:space="preserve">3. Scope</w:t>
      </w:r>
    </w:p>
    <w:p>
      <w:pPr>
        <w:pStyle w:val="FirstParagraph"/>
      </w:pPr>
      <w:r>
        <w:t xml:space="preserve">This protocol applies to all Telecommunication Engineers involved in the testing and evaluation of telecommunication systems in Tehran. It covers both fixed-line and mobile networks, including but not limited to:</w:t>
      </w:r>
    </w:p>
    <w:p>
      <w:pPr>
        <w:numPr>
          <w:ilvl w:val="0"/>
          <w:numId w:val="1002"/>
        </w:numPr>
        <w:pStyle w:val="Compact"/>
      </w:pPr>
      <w:r>
        <w:t xml:space="preserve">4G/5G mobile networks</w:t>
      </w:r>
    </w:p>
    <w:p>
      <w:pPr>
        <w:numPr>
          <w:ilvl w:val="0"/>
          <w:numId w:val="1002"/>
        </w:numPr>
        <w:pStyle w:val="Compact"/>
      </w:pPr>
      <w:r>
        <w:t xml:space="preserve">Fiber optic networks</w:t>
      </w:r>
    </w:p>
    <w:p>
      <w:pPr>
        <w:numPr>
          <w:ilvl w:val="0"/>
          <w:numId w:val="1002"/>
        </w:numPr>
        <w:pStyle w:val="Compact"/>
      </w:pPr>
      <w:r>
        <w:t xml:space="preserve">Satellite communication systems</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Test sites will be selected based on their geographical diversity and population density. Key areas include:</w:t>
      </w:r>
    </w:p>
    <w:p>
      <w:pPr>
        <w:numPr>
          <w:ilvl w:val="0"/>
          <w:numId w:val="1003"/>
        </w:numPr>
        <w:pStyle w:val="Compact"/>
      </w:pPr>
      <w:r>
        <w:t xml:space="preserve">Downtown Tehran</w:t>
      </w:r>
    </w:p>
    <w:p>
      <w:pPr>
        <w:numPr>
          <w:ilvl w:val="0"/>
          <w:numId w:val="1003"/>
        </w:numPr>
        <w:pStyle w:val="Compact"/>
      </w:pPr>
      <w:r>
        <w:t xml:space="preserve">Suburban areas</w:t>
      </w:r>
    </w:p>
    <w:p>
      <w:pPr>
        <w:numPr>
          <w:ilvl w:val="0"/>
          <w:numId w:val="1003"/>
        </w:numPr>
        <w:pStyle w:val="Compact"/>
      </w:pPr>
      <w:r>
        <w:t xml:space="preserve">Industrial zones</w:t>
      </w:r>
    </w:p>
    <w:p>
      <w:pPr>
        <w:numPr>
          <w:ilvl w:val="0"/>
          <w:numId w:val="1003"/>
        </w:numPr>
        <w:pStyle w:val="Compact"/>
      </w:pPr>
      <w:r>
        <w:t xml:space="preserve">Residential neighborhoods</w:t>
      </w:r>
    </w:p>
    <w:bookmarkEnd w:id="23"/>
    <w:bookmarkStart w:id="24" w:name="equipment"/>
    <w:p>
      <w:pPr>
        <w:pStyle w:val="Heading3"/>
      </w:pPr>
      <w:r>
        <w:t xml:space="preserve">4.2 Equipment</w:t>
      </w:r>
    </w:p>
    <w:p>
      <w:pPr>
        <w:pStyle w:val="FirstParagraph"/>
      </w:pPr>
      <w:r>
        <w:t xml:space="preserve">The following equipment will be used for the experiments:</w:t>
      </w:r>
    </w:p>
    <w:p>
      <w:pPr>
        <w:numPr>
          <w:ilvl w:val="0"/>
          <w:numId w:val="1004"/>
        </w:numPr>
        <w:pStyle w:val="Compact"/>
      </w:pPr>
      <w:r>
        <w:t xml:space="preserve">Spectrum analyzers</w:t>
      </w:r>
    </w:p>
    <w:p>
      <w:pPr>
        <w:numPr>
          <w:ilvl w:val="0"/>
          <w:numId w:val="1004"/>
        </w:numPr>
        <w:pStyle w:val="Compact"/>
      </w:pPr>
      <w:r>
        <w:t xml:space="preserve">Signal generators</w:t>
      </w:r>
    </w:p>
    <w:p>
      <w:pPr>
        <w:numPr>
          <w:ilvl w:val="0"/>
          <w:numId w:val="1004"/>
        </w:numPr>
        <w:pStyle w:val="Compact"/>
      </w:pPr>
      <w:r>
        <w:t xml:space="preserve">Network analyzers</w:t>
      </w:r>
    </w:p>
    <w:p>
      <w:pPr>
        <w:numPr>
          <w:ilvl w:val="0"/>
          <w:numId w:val="1004"/>
        </w:numPr>
        <w:pStyle w:val="Compact"/>
      </w:pPr>
      <w:r>
        <w:t xml:space="preserve">GPS devices for location tracking</w:t>
      </w:r>
    </w:p>
    <w:bookmarkEnd w:id="24"/>
    <w:bookmarkStart w:id="25" w:name="data-collection"/>
    <w:p>
      <w:pPr>
        <w:pStyle w:val="Heading3"/>
      </w:pPr>
      <w:r>
        <w:t xml:space="preserve">4.3 Data Collection</w:t>
      </w:r>
    </w:p>
    <w:p>
      <w:pPr>
        <w:pStyle w:val="FirstParagraph"/>
      </w:pPr>
      <w:r>
        <w:t xml:space="preserve">Data will be collected at regular intervals throughout the day to capture variations in network performance. Key metrics include:</w:t>
      </w:r>
    </w:p>
    <w:p>
      <w:pPr>
        <w:numPr>
          <w:ilvl w:val="0"/>
          <w:numId w:val="1005"/>
        </w:numPr>
        <w:pStyle w:val="Compact"/>
      </w:pPr>
      <w:r>
        <w:t xml:space="preserve">Signal strength (RSSI)</w:t>
      </w:r>
    </w:p>
    <w:p>
      <w:pPr>
        <w:numPr>
          <w:ilvl w:val="0"/>
          <w:numId w:val="1005"/>
        </w:numPr>
        <w:pStyle w:val="Compact"/>
      </w:pPr>
      <w:r>
        <w:t xml:space="preserve">Signal-to-noise ratio (SNR)</w:t>
      </w:r>
    </w:p>
    <w:p>
      <w:pPr>
        <w:numPr>
          <w:ilvl w:val="0"/>
          <w:numId w:val="1005"/>
        </w:numPr>
        <w:pStyle w:val="Compact"/>
      </w:pPr>
      <w:r>
        <w:t xml:space="preserve">Latency</w:t>
      </w:r>
    </w:p>
    <w:p>
      <w:pPr>
        <w:numPr>
          <w:ilvl w:val="0"/>
          <w:numId w:val="1005"/>
        </w:numPr>
        <w:pStyle w:val="Compact"/>
      </w:pPr>
      <w:r>
        <w:t xml:space="preserve">Packet loss</w:t>
      </w:r>
    </w:p>
    <w:p>
      <w:pPr>
        <w:numPr>
          <w:ilvl w:val="0"/>
          <w:numId w:val="1005"/>
        </w:numPr>
        <w:pStyle w:val="Compact"/>
      </w:pPr>
      <w:r>
        <w:t xml:space="preserve">Throughput</w:t>
      </w:r>
    </w:p>
    <w:bookmarkEnd w:id="25"/>
    <w:bookmarkEnd w:id="26"/>
    <w:bookmarkStart w:id="30" w:name="procedures"/>
    <w:p>
      <w:pPr>
        <w:pStyle w:val="Heading2"/>
      </w:pPr>
      <w:r>
        <w:t xml:space="preserve">5. Procedures</w:t>
      </w:r>
    </w:p>
    <w:bookmarkStart w:id="27" w:name="pre-experiment-setup"/>
    <w:p>
      <w:pPr>
        <w:pStyle w:val="Heading3"/>
      </w:pPr>
      <w:r>
        <w:t xml:space="preserve">5.1 Pre-Experiment Setup</w:t>
      </w:r>
    </w:p>
    <w:p>
      <w:pPr>
        <w:pStyle w:val="FirstParagraph"/>
      </w:pPr>
      <w:r>
        <w:t xml:space="preserve">Before beginning the experiments, ensure that all equipment is calibrated and functioning correctly. Obtain necessary permits from local authorities in Tehran to conduct tests in public areas.</w:t>
      </w:r>
    </w:p>
    <w:bookmarkEnd w:id="27"/>
    <w:bookmarkStart w:id="28" w:name="execution"/>
    <w:p>
      <w:pPr>
        <w:pStyle w:val="Heading3"/>
      </w:pPr>
      <w:r>
        <w:t xml:space="preserve">5.2 Execution</w:t>
      </w:r>
    </w:p>
    <w:p>
      <w:pPr>
        <w:pStyle w:val="FirstParagraph"/>
      </w:pPr>
      <w:r>
        <w:t xml:space="preserve">Follow these steps during the experiment:</w:t>
      </w:r>
    </w:p>
    <w:p>
      <w:pPr>
        <w:numPr>
          <w:ilvl w:val="0"/>
          <w:numId w:val="1006"/>
        </w:numPr>
        <w:pStyle w:val="Compact"/>
      </w:pPr>
      <w:r>
        <w:t xml:space="preserve">Set up equipment at the designated test site.</w:t>
      </w:r>
    </w:p>
    <w:p>
      <w:pPr>
        <w:numPr>
          <w:ilvl w:val="0"/>
          <w:numId w:val="1006"/>
        </w:numPr>
        <w:pStyle w:val="Compact"/>
      </w:pPr>
      <w:r>
        <w:t xml:space="preserve">Begin data collection according to the specified schedule.</w:t>
      </w:r>
    </w:p>
    <w:p>
      <w:pPr>
        <w:numPr>
          <w:ilvl w:val="0"/>
          <w:numId w:val="1006"/>
        </w:numPr>
        <w:pStyle w:val="Compact"/>
      </w:pPr>
      <w:r>
        <w:t xml:space="preserve">Record environmental conditions (e.g., weather, time of day).</w:t>
      </w:r>
    </w:p>
    <w:p>
      <w:pPr>
        <w:numPr>
          <w:ilvl w:val="0"/>
          <w:numId w:val="1006"/>
        </w:numPr>
        <w:pStyle w:val="Compact"/>
      </w:pPr>
      <w:r>
        <w:t xml:space="preserve">Monitor network performance in real-time.</w:t>
      </w:r>
    </w:p>
    <w:p>
      <w:pPr>
        <w:numPr>
          <w:ilvl w:val="0"/>
          <w:numId w:val="1006"/>
        </w:numPr>
        <w:pStyle w:val="Compact"/>
      </w:pPr>
      <w:r>
        <w:t xml:space="preserve">Document any anomalies or issues encountered.</w:t>
      </w:r>
    </w:p>
    <w:bookmarkEnd w:id="28"/>
    <w:bookmarkStart w:id="29" w:name="post-experiment-analysis"/>
    <w:p>
      <w:pPr>
        <w:pStyle w:val="Heading3"/>
      </w:pPr>
      <w:r>
        <w:t xml:space="preserve">5.3 Post-Experiment Analysis</w:t>
      </w:r>
    </w:p>
    <w:p>
      <w:pPr>
        <w:pStyle w:val="FirstParagraph"/>
      </w:pPr>
      <w:r>
        <w:t xml:space="preserve">After completing data collection, analyze the results to identify trends and patterns. Compare findings with baseline data to assess network performance. Prepare a detailed report summarizing the results and recommendations for improvement.</w:t>
      </w:r>
    </w:p>
    <w:bookmarkEnd w:id="29"/>
    <w:bookmarkEnd w:id="30"/>
    <w:bookmarkStart w:id="31" w:name="safety-considerations"/>
    <w:p>
      <w:pPr>
        <w:pStyle w:val="Heading2"/>
      </w:pPr>
      <w:r>
        <w:t xml:space="preserve">6. Safety Considerations</w:t>
      </w:r>
    </w:p>
    <w:p>
      <w:pPr>
        <w:pStyle w:val="FirstParagraph"/>
      </w:pPr>
      <w:r>
        <w:t xml:space="preserve">Ensure the safety of all personnel involved in the experiment. Follow these guidelines:</w:t>
      </w:r>
    </w:p>
    <w:p>
      <w:pPr>
        <w:numPr>
          <w:ilvl w:val="0"/>
          <w:numId w:val="1007"/>
        </w:numPr>
        <w:pStyle w:val="Compact"/>
      </w:pPr>
      <w:r>
        <w:t xml:space="preserve">Wear appropriate personal protective equipment (PPE).</w:t>
      </w:r>
    </w:p>
    <w:p>
      <w:pPr>
        <w:numPr>
          <w:ilvl w:val="0"/>
          <w:numId w:val="1007"/>
        </w:numPr>
        <w:pStyle w:val="Compact"/>
      </w:pPr>
      <w:r>
        <w:t xml:space="preserve">Avoid working in hazardous conditions (e.g., extreme weather).</w:t>
      </w:r>
    </w:p>
    <w:p>
      <w:pPr>
        <w:numPr>
          <w:ilvl w:val="0"/>
          <w:numId w:val="1007"/>
        </w:numPr>
        <w:pStyle w:val="Compact"/>
      </w:pPr>
      <w:r>
        <w:t xml:space="preserve">Be aware of local traffic and pedestrian safety regulations in Tehran.</w:t>
      </w:r>
    </w:p>
    <w:bookmarkEnd w:id="31"/>
    <w:bookmarkStart w:id="32" w:name="compliance-and-regulations"/>
    <w:p>
      <w:pPr>
        <w:pStyle w:val="Heading2"/>
      </w:pPr>
      <w:r>
        <w:t xml:space="preserve">7. Compliance and Regulations</w:t>
      </w:r>
    </w:p>
    <w:p>
      <w:pPr>
        <w:pStyle w:val="FirstParagraph"/>
      </w:pPr>
      <w:r>
        <w:t xml:space="preserve">All experiments must comply with the regulations set forth by the Iranian Telecommunication Regulatory Authority (ITRA). Ensure that all tests are conducted within the legal frequency bands and power limits specified by ITRA.</w:t>
      </w:r>
    </w:p>
    <w:bookmarkEnd w:id="32"/>
    <w:bookmarkStart w:id="33" w:name="reporting"/>
    <w:p>
      <w:pPr>
        <w:pStyle w:val="Heading2"/>
      </w:pPr>
      <w:r>
        <w:t xml:space="preserve">8. Reporting</w:t>
      </w:r>
    </w:p>
    <w:p>
      <w:pPr>
        <w:pStyle w:val="FirstParagraph"/>
      </w:pPr>
      <w:r>
        <w:t xml:space="preserve">Prepare a comprehensive report detailing the experiment's objectives, methodology, results, and conclusions. The report should include:</w:t>
      </w:r>
    </w:p>
    <w:p>
      <w:pPr>
        <w:numPr>
          <w:ilvl w:val="0"/>
          <w:numId w:val="1008"/>
        </w:numPr>
        <w:pStyle w:val="Compact"/>
      </w:pPr>
      <w:r>
        <w:t xml:space="preserve">Executive summary</w:t>
      </w:r>
    </w:p>
    <w:p>
      <w:pPr>
        <w:numPr>
          <w:ilvl w:val="0"/>
          <w:numId w:val="1008"/>
        </w:numPr>
        <w:pStyle w:val="Compact"/>
      </w:pPr>
      <w:r>
        <w:t xml:space="preserve">Detailed methodology</w:t>
      </w:r>
    </w:p>
    <w:p>
      <w:pPr>
        <w:numPr>
          <w:ilvl w:val="0"/>
          <w:numId w:val="1008"/>
        </w:numPr>
        <w:pStyle w:val="Compact"/>
      </w:pPr>
      <w:r>
        <w:t xml:space="preserve">Data analysis and interpretation</w:t>
      </w:r>
    </w:p>
    <w:p>
      <w:pPr>
        <w:numPr>
          <w:ilvl w:val="0"/>
          <w:numId w:val="1008"/>
        </w:numPr>
        <w:pStyle w:val="Compact"/>
      </w:pPr>
      <w:r>
        <w:t xml:space="preserve">Recommendations for network optimization</w:t>
      </w:r>
    </w:p>
    <w:p>
      <w:pPr>
        <w:numPr>
          <w:ilvl w:val="0"/>
          <w:numId w:val="1008"/>
        </w:numPr>
        <w:pStyle w:val="Compact"/>
      </w:pPr>
      <w:r>
        <w:t xml:space="preserve">Appendices with raw data and additional information</w:t>
      </w:r>
    </w:p>
    <w:bookmarkEnd w:id="33"/>
    <w:bookmarkStart w:id="34" w:name="conclusion"/>
    <w:p>
      <w:pPr>
        <w:pStyle w:val="Heading2"/>
      </w:pPr>
      <w:r>
        <w:t xml:space="preserve">9. Conclusion</w:t>
      </w:r>
    </w:p>
    <w:p>
      <w:pPr>
        <w:pStyle w:val="FirstParagraph"/>
      </w:pPr>
      <w:r>
        <w:t xml:space="preserve">This Experiment Protocol provides a structured approach for Telecommunication Engineers to evaluate and improve telecommunication networks in Tehran, Iran. By following these guidelines, engineers can ensure accurate and reliable results, contributing to the enhancement of communication infrastructure in the region.</w:t>
      </w:r>
    </w:p>
    <w:p>
      <w:pPr>
        <w:pStyle w:val="BodyText"/>
      </w:pPr>
      <w:r>
        <w:t xml:space="preserve">Note: This document is subject to updates based on new regulations, technological advancements, and feedback from field engineers.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Tehran, Iran</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