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Japan</w:t>
      </w:r>
      <w:r>
        <w:t xml:space="preserve"> </w:t>
      </w:r>
      <w:r>
        <w:t xml:space="preserve">Osaka</w:t>
      </w:r>
    </w:p>
    <w:bookmarkStart w:id="30" w:name="Xc999e2d63d15c2abbac4d3503805ef9446a834f"/>
    <w:p>
      <w:pPr>
        <w:pStyle w:val="Heading1"/>
      </w:pPr>
      <w:r>
        <w:t xml:space="preserve">Experiment Protocol: Telecommunication Engineer Field Assessment</w:t>
      </w:r>
    </w:p>
    <w:p>
      <w:pPr>
        <w:pStyle w:val="FirstParagraph"/>
      </w:pPr>
      <w:r>
        <w:rPr>
          <w:bCs/>
          <w:b/>
        </w:rPr>
        <w:t xml:space="preserve">Document ID:</w:t>
      </w:r>
      <w:r>
        <w:t xml:space="preserve"> </w:t>
      </w:r>
      <w:r>
        <w:t xml:space="preserve">JP-OSA-TE-2023-001</w:t>
      </w:r>
    </w:p>
    <w:p>
      <w:pPr>
        <w:pStyle w:val="BodyText"/>
      </w:pPr>
      <w:r>
        <w:rPr>
          <w:bCs/>
          <w:b/>
        </w:rPr>
        <w:t xml:space="preserve">Location:</w:t>
      </w:r>
      <w:r>
        <w:t xml:space="preserve"> </w:t>
      </w:r>
      <w:r>
        <w:t xml:space="preserve">Japan Osaka (Osaka Prefecture, Kansai Region)</w:t>
      </w:r>
    </w:p>
    <w:p>
      <w:pPr>
        <w:pStyle w:val="BodyText"/>
      </w:pPr>
      <w:r>
        <w:rPr>
          <w:bCs/>
          <w:b/>
        </w:rPr>
        <w:t xml:space="preserve">Subject Role:</w:t>
      </w:r>
      <w:r>
        <w:t xml:space="preserve"> </w:t>
      </w:r>
      <w:r>
        <w:t xml:space="preserve">Telecommunication Engineer</w:t>
      </w:r>
    </w:p>
    <w:p>
      <w:pPr>
        <w:pStyle w:val="BodyText"/>
      </w:pPr>
      <w:r>
        <w:rPr>
          <w:bCs/>
          <w:b/>
        </w:rPr>
        <w:t xml:space="preserve">Date:</w:t>
      </w:r>
      <w:r>
        <w:t xml:space="preserve"> </w:t>
      </w:r>
      <w:r>
        <w:t xml:space="preserve">October 26, 2023</w:t>
      </w:r>
    </w:p>
    <w:p>
      <w:pPr>
        <w:pStyle w:val="BodyText"/>
      </w:pPr>
      <w:r>
        <w:rPr>
          <w:bCs/>
          <w:b/>
        </w:rPr>
        <w:t xml:space="preserve">Status:</w:t>
      </w:r>
      <w:r>
        <w:t xml:space="preserve"> </w:t>
      </w:r>
      <w:r>
        <w:t xml:space="preserve">Approved for Execution</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technical proficiency, operational efficiency, and safety compliance of a Telecommunication Engineer operating within the metropolitan infrastructure of Japan Osaka. The primary objective of this experiment is to assess the engineer's capability to deploy, maintain, and troubleshoot high-speed optical fiber networks and 5G small cell infrastructure in a dense urban environment.</w:t>
      </w:r>
    </w:p>
    <w:p>
      <w:pPr>
        <w:pStyle w:val="BodyText"/>
      </w:pPr>
      <w:r>
        <w:t xml:space="preserve">Given the unique geographical and regulatory landscape of Japan Osaka, this protocol specifically targets the challenges associated with high-density residential zones, complex underground utility management, and strict adherence to Japanese telecommunications standards (JIS). The experiment aims to quantify the engineer's ability to minimize service interruption while maximizing signal integrity in a live production environment.</w:t>
      </w:r>
    </w:p>
    <w:bookmarkEnd w:id="20"/>
    <w:bookmarkStart w:id="21" w:name="scope-and-environment"/>
    <w:p>
      <w:pPr>
        <w:pStyle w:val="Heading2"/>
      </w:pPr>
      <w:r>
        <w:t xml:space="preserve">2. Scope and Environment</w:t>
      </w:r>
    </w:p>
    <w:p>
      <w:pPr>
        <w:pStyle w:val="FirstParagraph"/>
      </w:pPr>
      <w:r>
        <w:t xml:space="preserve">The experiment will be conducted in designated test zones within Japan Osaka, specifically focusing on the Chuo-ku and Naniwa-ku wards. These areas were selected due to their mix of historical architecture and modern high-rise developments, presenting a realistic scenario for a Telecommunication Engineer.</w:t>
      </w:r>
    </w:p>
    <w:p>
      <w:pPr>
        <w:pStyle w:val="BodyText"/>
      </w:pPr>
      <w:r>
        <w:t xml:space="preserve">The scope includes the following technical domains:</w:t>
      </w:r>
    </w:p>
    <w:p>
      <w:pPr>
        <w:numPr>
          <w:ilvl w:val="0"/>
          <w:numId w:val="1001"/>
        </w:numPr>
        <w:pStyle w:val="Compact"/>
      </w:pPr>
      <w:r>
        <w:t xml:space="preserve">Fiber-to-the-Home (FTTH) termination and splicing.</w:t>
      </w:r>
    </w:p>
    <w:p>
      <w:pPr>
        <w:numPr>
          <w:ilvl w:val="0"/>
          <w:numId w:val="1001"/>
        </w:numPr>
        <w:pStyle w:val="Compact"/>
      </w:pPr>
      <w:r>
        <w:t xml:space="preserve">5G Radio Access Network (RAN) configuration and optimization.</w:t>
      </w:r>
    </w:p>
    <w:p>
      <w:pPr>
        <w:numPr>
          <w:ilvl w:val="0"/>
          <w:numId w:val="1001"/>
        </w:numPr>
        <w:pStyle w:val="Compact"/>
      </w:pPr>
      <w:r>
        <w:t xml:space="preserve">Compliance with the Radio Law of Japan.</w:t>
      </w:r>
    </w:p>
    <w:p>
      <w:pPr>
        <w:numPr>
          <w:ilvl w:val="0"/>
          <w:numId w:val="1001"/>
        </w:numPr>
        <w:pStyle w:val="Compact"/>
      </w:pPr>
      <w:r>
        <w:t xml:space="preserve">Emergency response protocols for network outages.</w:t>
      </w:r>
    </w:p>
    <w:bookmarkEnd w:id="21"/>
    <w:bookmarkStart w:id="22" w:name="pre-experiment-requirements"/>
    <w:p>
      <w:pPr>
        <w:pStyle w:val="Heading2"/>
      </w:pPr>
      <w:r>
        <w:t xml:space="preserve">3. Pre-Experiment Requirements</w:t>
      </w:r>
    </w:p>
    <w:p>
      <w:pPr>
        <w:pStyle w:val="FirstParagraph"/>
      </w:pPr>
      <w:r>
        <w:t xml:space="preserve">Before the commencement of the field experiment, the Telecommunication Engineer must satisfy several prerequisites to ensure safety and legal compliance within Japan Osaka.</w:t>
      </w:r>
    </w:p>
    <w:p>
      <w:pPr>
        <w:numPr>
          <w:ilvl w:val="0"/>
          <w:numId w:val="1002"/>
        </w:numPr>
        <w:pStyle w:val="Compact"/>
      </w:pPr>
      <w:r>
        <w:rPr>
          <w:bCs/>
          <w:b/>
        </w:rPr>
        <w:t xml:space="preserve">Certification Verification:</w:t>
      </w:r>
      <w:r>
        <w:t xml:space="preserve"> </w:t>
      </w:r>
      <w:r>
        <w:t xml:space="preserve">The engineer must hold a valid Class 1 or Class 2 Radio Engineer license issued by the Ministry of Internal Affairs and Communications (MIC) of Japan.</w:t>
      </w:r>
    </w:p>
    <w:p>
      <w:pPr>
        <w:numPr>
          <w:ilvl w:val="0"/>
          <w:numId w:val="1002"/>
        </w:numPr>
        <w:pStyle w:val="Compact"/>
      </w:pPr>
      <w:r>
        <w:rPr>
          <w:bCs/>
          <w:b/>
        </w:rPr>
        <w:t xml:space="preserve">Safety Training:</w:t>
      </w:r>
      <w:r>
        <w:t xml:space="preserve"> </w:t>
      </w:r>
      <w:r>
        <w:t xml:space="preserve">Completion of the specific safety training required for working in confined spaces and at heights, adhering to the Industrial Safety and Health Act.</w:t>
      </w:r>
    </w:p>
    <w:p>
      <w:pPr>
        <w:numPr>
          <w:ilvl w:val="0"/>
          <w:numId w:val="1002"/>
        </w:numPr>
        <w:pStyle w:val="Compact"/>
      </w:pPr>
      <w:r>
        <w:rPr>
          <w:bCs/>
          <w:b/>
        </w:rPr>
        <w:t xml:space="preserve">Equipment Calibration:</w:t>
      </w:r>
      <w:r>
        <w:t xml:space="preserve"> </w:t>
      </w:r>
      <w:r>
        <w:t xml:space="preserve">All testing equipment, including Optical Time-Domain Reflectometers (OTDR), spectrum analyzers, and power meters, must be calibrated according to JIS standards within the last 12 months.</w:t>
      </w:r>
    </w:p>
    <w:p>
      <w:pPr>
        <w:numPr>
          <w:ilvl w:val="0"/>
          <w:numId w:val="1002"/>
        </w:numPr>
        <w:pStyle w:val="Compact"/>
      </w:pPr>
      <w:r>
        <w:rPr>
          <w:bCs/>
          <w:b/>
        </w:rPr>
        <w:t xml:space="preserve">Local Permits:</w:t>
      </w:r>
      <w:r>
        <w:t xml:space="preserve"> </w:t>
      </w:r>
      <w:r>
        <w:t xml:space="preserve">Acquisition of necessary work permits from the Osaka City Bureau of Construction and relevant utility providers.</w:t>
      </w:r>
    </w:p>
    <w:bookmarkEnd w:id="22"/>
    <w:bookmarkStart w:id="26" w:name="experimental-procedure"/>
    <w:p>
      <w:pPr>
        <w:pStyle w:val="Heading2"/>
      </w:pPr>
      <w:r>
        <w:t xml:space="preserve">4. Experimental Procedure</w:t>
      </w:r>
    </w:p>
    <w:p>
      <w:pPr>
        <w:pStyle w:val="FirstParagraph"/>
      </w:pPr>
      <w:r>
        <w:t xml:space="preserve">The experiment is divided into three distinct phases. The Telecommunication Engineer will be observed and evaluated by a senior technical auditor throughout these phases.</w:t>
      </w:r>
    </w:p>
    <w:bookmarkStart w:id="23" w:name="Xc4e7ae3c2bcb5afa07cae1c759550b8f3ffe3e0"/>
    <w:p>
      <w:pPr>
        <w:pStyle w:val="Heading3"/>
      </w:pPr>
      <w:r>
        <w:t xml:space="preserve">Phase 1: Infrastructure Inspection and Planning</w:t>
      </w:r>
    </w:p>
    <w:p>
      <w:pPr>
        <w:pStyle w:val="FirstParagraph"/>
      </w:pPr>
      <w:r>
        <w:t xml:space="preserve">The engineer is tasked with inspecting a designated node in the Japan Osaka network grid. The objective is to identify potential points of failure and plan a maintenance strategy. The engineer must utilize local GIS data to map underground ducts and overhead lines. The evaluation criteria include the accuracy of the site survey report and the identification of potential interference sources from nearby industrial equipment common in Osaka's manufacturing districts.</w:t>
      </w:r>
    </w:p>
    <w:bookmarkEnd w:id="23"/>
    <w:bookmarkStart w:id="24" w:name="phase-2-deployment-and-configuration"/>
    <w:p>
      <w:pPr>
        <w:pStyle w:val="Heading3"/>
      </w:pPr>
      <w:r>
        <w:t xml:space="preserve">Phase 2: Deployment and Configuration</w:t>
      </w:r>
    </w:p>
    <w:p>
      <w:pPr>
        <w:pStyle w:val="FirstParagraph"/>
      </w:pPr>
      <w:r>
        <w:t xml:space="preserve">In this phase, the Telecommunication Engineer must perform a live deployment of a new optical distribution frame (ODF) and configure a 5G small cell base station. The engineer must demonstrate proficiency in fiber splicing, ensuring that the attenuation loss does not exceed 0.05 dB per splice. Furthermore, the engineer must configure the base station parameters to align with the frequency bands allocated by the Japanese government, ensuring no cross-border interference or violation of the Radio Law.</w:t>
      </w:r>
    </w:p>
    <w:bookmarkEnd w:id="24"/>
    <w:bookmarkStart w:id="25" w:name="phase-3-troubleshooting-and-optimization"/>
    <w:p>
      <w:pPr>
        <w:pStyle w:val="Heading3"/>
      </w:pPr>
      <w:r>
        <w:t xml:space="preserve">Phase 3: Troubleshooting and Optimization</w:t>
      </w:r>
    </w:p>
    <w:p>
      <w:pPr>
        <w:pStyle w:val="FirstParagraph"/>
      </w:pPr>
      <w:r>
        <w:t xml:space="preserve">A simulated fault will be introduced into the network. The Telecommunication Engineer must diagnose the issue using diagnostic tools and restore service within a specified timeframe (Target: &lt; 45 minutes). The engineer is expected to document the root cause analysis and implement a solution that prevents recurrence. Special attention will be paid to the engineer's communication with the central operations center in Osaka, ensuring clear and concise reporting in accordance with corporate protocols.</w:t>
      </w:r>
    </w:p>
    <w:bookmarkEnd w:id="25"/>
    <w:bookmarkEnd w:id="26"/>
    <w:bookmarkStart w:id="27" w:name="safety-and-regulatory-compliance"/>
    <w:p>
      <w:pPr>
        <w:pStyle w:val="Heading2"/>
      </w:pPr>
      <w:r>
        <w:t xml:space="preserve">5. Safety and Regulatory Compliance</w:t>
      </w:r>
    </w:p>
    <w:p>
      <w:pPr>
        <w:pStyle w:val="FirstParagraph"/>
      </w:pPr>
      <w:r>
        <w:t xml:space="preserve">Safety is paramount in this Experiment Protocol. The Telecommunication Engineer must strictly adhere to the following:</w:t>
      </w:r>
    </w:p>
    <w:p>
      <w:pPr>
        <w:numPr>
          <w:ilvl w:val="0"/>
          <w:numId w:val="1003"/>
        </w:numPr>
        <w:pStyle w:val="Compact"/>
      </w:pPr>
      <w:r>
        <w:rPr>
          <w:bCs/>
          <w:b/>
        </w:rPr>
        <w:t xml:space="preserve">Personal Protective Equipment (PPE):</w:t>
      </w:r>
      <w:r>
        <w:t xml:space="preserve"> </w:t>
      </w:r>
      <w:r>
        <w:t xml:space="preserve">Mandatory use of hard hats, high-visibility vests, safety glasses, and insulated gloves at all times during field operations.</w:t>
      </w:r>
    </w:p>
    <w:p>
      <w:pPr>
        <w:numPr>
          <w:ilvl w:val="0"/>
          <w:numId w:val="1003"/>
        </w:numPr>
        <w:pStyle w:val="Compact"/>
      </w:pPr>
      <w:r>
        <w:rPr>
          <w:bCs/>
          <w:b/>
        </w:rPr>
        <w:t xml:space="preserve">Electrical Safety:</w:t>
      </w:r>
      <w:r>
        <w:t xml:space="preserve"> </w:t>
      </w:r>
      <w:r>
        <w:t xml:space="preserve">Strict adherence to lockout/tagout (LOTO) procedures when working near high-voltage power lines, which are prevalent in the Japan Osaka urban grid.</w:t>
      </w:r>
    </w:p>
    <w:p>
      <w:pPr>
        <w:numPr>
          <w:ilvl w:val="0"/>
          <w:numId w:val="1003"/>
        </w:numPr>
        <w:pStyle w:val="Compact"/>
      </w:pPr>
      <w:r>
        <w:rPr>
          <w:bCs/>
          <w:b/>
        </w:rPr>
        <w:t xml:space="preserve">Environmental Considerations:</w:t>
      </w:r>
      <w:r>
        <w:t xml:space="preserve"> </w:t>
      </w:r>
      <w:r>
        <w:t xml:space="preserve">Proper disposal of electronic waste and fiber scraps in accordance with Osaka City environmental regulations.</w:t>
      </w:r>
    </w:p>
    <w:p>
      <w:pPr>
        <w:numPr>
          <w:ilvl w:val="0"/>
          <w:numId w:val="1003"/>
        </w:numPr>
        <w:pStyle w:val="Compact"/>
      </w:pPr>
      <w:r>
        <w:rPr>
          <w:bCs/>
          <w:b/>
        </w:rPr>
        <w:t xml:space="preserve">Radio Frequency (RF) Exposure:</w:t>
      </w:r>
      <w:r>
        <w:t xml:space="preserve"> </w:t>
      </w:r>
      <w:r>
        <w:t xml:space="preserve">Ensuring that RF exposure levels during 5G testing remain within the limits set by the Japanese Ministry of Health, Labour and Welfare.</w:t>
      </w:r>
    </w:p>
    <w:bookmarkEnd w:id="27"/>
    <w:bookmarkStart w:id="28" w:name="data-collection-and-evaluation-metrics"/>
    <w:p>
      <w:pPr>
        <w:pStyle w:val="Heading2"/>
      </w:pPr>
      <w:r>
        <w:t xml:space="preserve">6. Data Collection and Evaluation Metrics</w:t>
      </w:r>
    </w:p>
    <w:p>
      <w:pPr>
        <w:pStyle w:val="FirstParagraph"/>
      </w:pPr>
      <w:r>
        <w:t xml:space="preserve">The performance of the Telecommunication Engineer will be evaluated based on quantitative and qualitative metrics. Key performance indicators (KPIs) include:</w:t>
      </w:r>
    </w:p>
    <w:p>
      <w:pPr>
        <w:numPr>
          <w:ilvl w:val="0"/>
          <w:numId w:val="1004"/>
        </w:numPr>
        <w:pStyle w:val="Compact"/>
      </w:pPr>
      <w:r>
        <w:rPr>
          <w:bCs/>
          <w:b/>
        </w:rPr>
        <w:t xml:space="preserve">Signal Quality:</w:t>
      </w:r>
      <w:r>
        <w:t xml:space="preserve"> </w:t>
      </w:r>
      <w:r>
        <w:t xml:space="preserve">Bit Error Rate (BER) and Optical Signal-to-Noise Ratio (OSNR) measurements.</w:t>
      </w:r>
    </w:p>
    <w:p>
      <w:pPr>
        <w:numPr>
          <w:ilvl w:val="0"/>
          <w:numId w:val="1004"/>
        </w:numPr>
        <w:pStyle w:val="Compact"/>
      </w:pPr>
      <w:r>
        <w:rPr>
          <w:bCs/>
          <w:b/>
        </w:rPr>
        <w:t xml:space="preserve">Efficiency:</w:t>
      </w:r>
      <w:r>
        <w:t xml:space="preserve"> </w:t>
      </w:r>
      <w:r>
        <w:t xml:space="preserve">Time taken to complete each phase of the experiment.</w:t>
      </w:r>
    </w:p>
    <w:p>
      <w:pPr>
        <w:numPr>
          <w:ilvl w:val="0"/>
          <w:numId w:val="1004"/>
        </w:numPr>
        <w:pStyle w:val="Compact"/>
      </w:pPr>
      <w:r>
        <w:rPr>
          <w:bCs/>
          <w:b/>
        </w:rPr>
        <w:t xml:space="preserve">Compliance:</w:t>
      </w:r>
      <w:r>
        <w:t xml:space="preserve"> </w:t>
      </w:r>
      <w:r>
        <w:t xml:space="preserve">Adherence to safety protocols and regulatory standards.</w:t>
      </w:r>
    </w:p>
    <w:p>
      <w:pPr>
        <w:numPr>
          <w:ilvl w:val="0"/>
          <w:numId w:val="1004"/>
        </w:numPr>
        <w:pStyle w:val="Compact"/>
      </w:pPr>
      <w:r>
        <w:rPr>
          <w:bCs/>
          <w:b/>
        </w:rPr>
        <w:t xml:space="preserve">Documentation:</w:t>
      </w:r>
      <w:r>
        <w:t xml:space="preserve"> </w:t>
      </w:r>
      <w:r>
        <w:t xml:space="preserve">Accuracy and completeness of technical reports and logs.</w:t>
      </w:r>
    </w:p>
    <w:bookmarkEnd w:id="28"/>
    <w:bookmarkStart w:id="29" w:name="conclusion-and-reporting"/>
    <w:p>
      <w:pPr>
        <w:pStyle w:val="Heading2"/>
      </w:pPr>
      <w:r>
        <w:t xml:space="preserve">7. Conclusion and Reporting</w:t>
      </w:r>
    </w:p>
    <w:p>
      <w:pPr>
        <w:pStyle w:val="FirstParagraph"/>
      </w:pPr>
      <w:r>
        <w:t xml:space="preserve">Upon completion of the experiment, the Telecommunication Engineer must submit a comprehensive report detailing the procedures performed, challenges encountered, and solutions implemented. This report will be reviewed by the technical committee to determine the engineer's competency level for independent operation within the Japan Osaka telecommunications network. The findings of this Experiment Protocol will contribute to the continuous improvement of training programs and operational standards for telecommunications professionals in the region.</w:t>
      </w:r>
    </w:p>
    <w:p>
      <w:pPr>
        <w:pStyle w:val="BodyText"/>
      </w:pPr>
      <w:r>
        <w:rPr>
          <w:bCs/>
          <w:b/>
        </w:rPr>
        <w:t xml:space="preserve">Lead Auditor Signature</w:t>
      </w:r>
    </w:p>
    <w:p>
      <w:pPr>
        <w:pStyle w:val="BodyText"/>
      </w:pPr>
      <w:r>
        <w:t xml:space="preserve">Date: _______________</w:t>
      </w:r>
    </w:p>
    <w:p>
      <w:pPr>
        <w:pStyle w:val="BodyText"/>
      </w:pPr>
      <w:r>
        <w:rPr>
          <w:bCs/>
          <w:b/>
        </w:rPr>
        <w:t xml:space="preserve">Telecommunication Engineer Signature</w:t>
      </w:r>
    </w:p>
    <w:p>
      <w:pPr>
        <w:pStyle w:val="BodyText"/>
      </w:pPr>
      <w:r>
        <w:t xml:space="preserve">Date: _______________</w:t>
      </w:r>
    </w:p>
    <w:p>
      <w:pPr>
        <w:pStyle w:val="BodyText"/>
      </w:pPr>
      <w:r>
        <w:t xml:space="preserve">Note: This document is confidential and intended solely for the use of authorized personnel involved in the Telecommunication Engineer assessment program in Japan Osaka. Unauthorized distribution is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Japan Osaka</dc:title>
  <dc:creator/>
  <dc:language>en</dc:language>
  <cp:keywords/>
  <dcterms:created xsi:type="dcterms:W3CDTF">2026-10-10T02:16:02Z</dcterms:created>
  <dcterms:modified xsi:type="dcterms:W3CDTF">2026-10-10T02:16:02Z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