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Almaty,</w:t>
      </w:r>
      <w:r>
        <w:t xml:space="preserve"> </w:t>
      </w:r>
      <w:r>
        <w:t xml:space="preserve">Kazakhstan</w:t>
      </w:r>
    </w:p>
    <w:bookmarkStart w:id="29" w:name="Xe1b1af115eaec05d12cfc99996247d41a2add61"/>
    <w:p>
      <w:pPr>
        <w:pStyle w:val="Heading1"/>
      </w:pPr>
      <w:r>
        <w:t xml:space="preserve">Experiment Protocol: 5G Network Latency and Signal Integrity Assessment</w:t>
      </w:r>
    </w:p>
    <w:p>
      <w:pPr>
        <w:pStyle w:val="FirstParagraph"/>
      </w:pPr>
      <w:r>
        <w:rPr>
          <w:bCs/>
          <w:b/>
        </w:rPr>
        <w:t xml:space="preserve">Project ID:</w:t>
      </w:r>
      <w:r>
        <w:t xml:space="preserve"> </w:t>
      </w:r>
      <w:r>
        <w:t xml:space="preserve">KZ-ALM-TE-2023-004</w:t>
      </w:r>
      <w:r>
        <w:br/>
      </w:r>
      <w:r>
        <w:rPr>
          <w:bCs/>
          <w:b/>
        </w:rPr>
        <w:t xml:space="preserve">Location:</w:t>
      </w:r>
      <w:r>
        <w:t xml:space="preserve"> </w:t>
      </w:r>
      <w:r>
        <w:t xml:space="preserve">Almaty, Kazakhstan</w:t>
      </w:r>
      <w:r>
        <w:br/>
      </w:r>
      <w:r>
        <w:rPr>
          <w:bCs/>
          <w:b/>
        </w:rPr>
        <w:t xml:space="preserve">Date:</w:t>
      </w:r>
      <w:r>
        <w:t xml:space="preserve"> </w:t>
      </w:r>
      <w:r>
        <w:t xml:space="preserve">October 24, 2023</w:t>
      </w:r>
    </w:p>
    <w:p>
      <w:pPr>
        <w:pStyle w:val="BodyText"/>
      </w:pPr>
      <w:r>
        <w:rPr>
          <w:bCs/>
          <w:b/>
        </w:rPr>
        <w:t xml:space="preserve">Lead Engineer:</w:t>
      </w:r>
      <w:r>
        <w:t xml:space="preserve"> </w:t>
      </w:r>
      <w:r>
        <w:t xml:space="preserve">[Name of Telecommunication Engineer]</w:t>
      </w:r>
      <w:r>
        <w:br/>
      </w:r>
      <w:r>
        <w:rPr>
          <w:bCs/>
          <w:b/>
        </w:rPr>
        <w:t xml:space="preserve">Organization:</w:t>
      </w:r>
      <w:r>
        <w:t xml:space="preserve"> </w:t>
      </w:r>
      <w:r>
        <w:t xml:space="preserve">[Company Name]</w:t>
      </w:r>
      <w:r>
        <w:br/>
      </w: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formal Experiment Protocol for a field assessment conducted by a qualified Telecommunication Engineer in the metropolitan area of Almaty, Kazakhstan. The primary objective of this experiment is to evaluate the performance metrics of the newly deployed 5G Non-Standalone (NSA) network infrastructure in high-density urban zones. Specifically, this protocol aims to measure latency, jitter, throughput, and signal-to-noise ratio (SNR) under varying environmental conditions typical of Almaty's topography.</w:t>
      </w:r>
    </w:p>
    <w:p>
      <w:pPr>
        <w:pStyle w:val="BodyText"/>
      </w:pPr>
      <w:r>
        <w:t xml:space="preserve">As a Telecommunication Engineer, the responsibility is to ensure that the network deployment meets the stringent standards set by the Agency for Regulation and Development of the Republic of Kazakhstan. This experiment will provide empirical data to validate network stability in areas prone to signal obstruction due to the city's proximity to the Trans-Ili Alatau mountains.</w:t>
      </w:r>
    </w:p>
    <w:bookmarkEnd w:id="20"/>
    <w:bookmarkStart w:id="21" w:name="scope-and-location"/>
    <w:p>
      <w:pPr>
        <w:pStyle w:val="Heading2"/>
      </w:pPr>
      <w:r>
        <w:t xml:space="preserve">2. Scope and Location</w:t>
      </w:r>
    </w:p>
    <w:p>
      <w:pPr>
        <w:pStyle w:val="FirstParagraph"/>
      </w:pPr>
      <w:r>
        <w:t xml:space="preserve">The experiment is strictly confined to the Almaty region, focusing on three distinct zones to ensure comprehensive data collection:</w:t>
      </w:r>
    </w:p>
    <w:p>
      <w:pPr>
        <w:numPr>
          <w:ilvl w:val="0"/>
          <w:numId w:val="1001"/>
        </w:numPr>
        <w:pStyle w:val="Compact"/>
      </w:pPr>
      <w:r>
        <w:rPr>
          <w:bCs/>
          <w:b/>
        </w:rPr>
        <w:t xml:space="preserve">Zone A (Central Business District):</w:t>
      </w:r>
      <w:r>
        <w:t xml:space="preserve"> </w:t>
      </w:r>
      <w:r>
        <w:t xml:space="preserve">Al-Farabi Avenue and surrounding skyscrapers. This area tests signal penetration in high-rise concrete structures.</w:t>
      </w:r>
    </w:p>
    <w:p>
      <w:pPr>
        <w:numPr>
          <w:ilvl w:val="0"/>
          <w:numId w:val="1001"/>
        </w:numPr>
        <w:pStyle w:val="Compact"/>
      </w:pPr>
      <w:r>
        <w:rPr>
          <w:bCs/>
          <w:b/>
        </w:rPr>
        <w:t xml:space="preserve">Zone B (Residential High-Density):</w:t>
      </w:r>
      <w:r>
        <w:t xml:space="preserve"> </w:t>
      </w:r>
      <w:r>
        <w:t xml:space="preserve">The Kairat district. This area assesses network load balancing during peak usage hours.</w:t>
      </w:r>
    </w:p>
    <w:p>
      <w:pPr>
        <w:numPr>
          <w:ilvl w:val="0"/>
          <w:numId w:val="1001"/>
        </w:numPr>
        <w:pStyle w:val="Compact"/>
      </w:pPr>
      <w:r>
        <w:rPr>
          <w:bCs/>
          <w:b/>
        </w:rPr>
        <w:t xml:space="preserve">Zone C (Topographical Challenge):</w:t>
      </w:r>
      <w:r>
        <w:t xml:space="preserve"> </w:t>
      </w:r>
      <w:r>
        <w:t xml:space="preserve">The slopes near Medeu. This area evaluates signal integrity in hilly terrain where line-of-sight to base stations is intermittent.</w:t>
      </w:r>
    </w:p>
    <w:bookmarkEnd w:id="21"/>
    <w:bookmarkStart w:id="22" w:name="equipment-and-methodology"/>
    <w:p>
      <w:pPr>
        <w:pStyle w:val="Heading2"/>
      </w:pPr>
      <w:r>
        <w:t xml:space="preserve">3. Equipment and Methodology</w:t>
      </w:r>
    </w:p>
    <w:p>
      <w:pPr>
        <w:pStyle w:val="FirstParagraph"/>
      </w:pPr>
      <w:r>
        <w:t xml:space="preserve">The Telecommunication Engineer will utilize the following calibrated equipment to ensure the accuracy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Model/Specification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Rohde &amp; Schwarz FSV40</w:t>
            </w:r>
          </w:p>
        </w:tc>
        <w:tc>
          <w:tcPr/>
          <w:p>
            <w:pPr>
              <w:pStyle w:val="Compact"/>
              <w:jc w:val="left"/>
            </w:pPr>
            <w:r>
              <w:t xml:space="preserve">Frequency domain analysis and interference detection.</w:t>
            </w:r>
          </w:p>
        </w:tc>
      </w:tr>
      <w:tr>
        <w:tc>
          <w:tcPr/>
          <w:p>
            <w:pPr>
              <w:pStyle w:val="Compact"/>
              <w:jc w:val="left"/>
            </w:pPr>
            <w:r>
              <w:t xml:space="preserve">Network Tester</w:t>
            </w:r>
          </w:p>
        </w:tc>
        <w:tc>
          <w:tcPr/>
          <w:p>
            <w:pPr>
              <w:pStyle w:val="Compact"/>
              <w:jc w:val="left"/>
            </w:pPr>
            <w:r>
              <w:t xml:space="preserve">Keysight N7000 Series</w:t>
            </w:r>
          </w:p>
        </w:tc>
        <w:tc>
          <w:tcPr/>
          <w:p>
            <w:pPr>
              <w:pStyle w:val="Compact"/>
              <w:jc w:val="left"/>
            </w:pPr>
            <w:r>
              <w:t xml:space="preserve">Throughput and latency measurement.</w:t>
            </w:r>
          </w:p>
        </w:tc>
      </w:tr>
      <w:tr>
        <w:tc>
          <w:tcPr/>
          <w:p>
            <w:pPr>
              <w:pStyle w:val="Compact"/>
              <w:jc w:val="left"/>
            </w:pPr>
            <w:r>
              <w:t xml:space="preserve">GPS Receiver</w:t>
            </w:r>
          </w:p>
        </w:tc>
        <w:tc>
          <w:tcPr/>
          <w:p>
            <w:pPr>
              <w:pStyle w:val="Compact"/>
              <w:jc w:val="left"/>
            </w:pPr>
            <w:r>
              <w:t xml:space="preserve">High-precision GNSS</w:t>
            </w:r>
          </w:p>
        </w:tc>
        <w:tc>
          <w:tcPr/>
          <w:p>
            <w:pPr>
              <w:pStyle w:val="Compact"/>
              <w:jc w:val="left"/>
            </w:pPr>
            <w:r>
              <w:t xml:space="preserve">Geotagging data points in Almaty.</w:t>
            </w:r>
          </w:p>
        </w:tc>
      </w:tr>
      <w:tr>
        <w:tc>
          <w:tcPr/>
          <w:p>
            <w:pPr>
              <w:pStyle w:val="Compact"/>
              <w:jc w:val="left"/>
            </w:pPr>
            <w:r>
              <w:t xml:space="preserve">Test UE (User Equipment)</w:t>
            </w:r>
          </w:p>
        </w:tc>
        <w:tc>
          <w:tcPr/>
          <w:p>
            <w:pPr>
              <w:pStyle w:val="Compact"/>
              <w:jc w:val="left"/>
            </w:pPr>
            <w:r>
              <w:t xml:space="preserve">5G NSA Compatible Smartphone</w:t>
            </w:r>
          </w:p>
        </w:tc>
        <w:tc>
          <w:tcPr/>
          <w:p>
            <w:pPr>
              <w:pStyle w:val="Compact"/>
              <w:jc w:val="left"/>
            </w:pPr>
            <w:r>
              <w:t xml:space="preserve">Real-world user experience simulation.</w:t>
            </w:r>
          </w:p>
        </w:tc>
      </w:tr>
    </w:tbl>
    <w:p>
      <w:pPr>
        <w:pStyle w:val="BodyText"/>
      </w:pPr>
      <w:r>
        <w:t xml:space="preserve">The methodology involves a drive-test approach combined with static measurements. The Telecommunication Engineer will drive a designated route in Almaty at a constant speed of 40 km/h while recording real-time network data. Static measurements will be taken at five-minute intervals at specific coordinates to analyze handover performance between cell towers.</w:t>
      </w:r>
    </w:p>
    <w:bookmarkEnd w:id="22"/>
    <w:bookmarkStart w:id="26" w:name="experimental-procedure"/>
    <w:p>
      <w:pPr>
        <w:pStyle w:val="Heading2"/>
      </w:pPr>
      <w:r>
        <w:t xml:space="preserve">4. Experimental Procedure</w:t>
      </w:r>
    </w:p>
    <w:bookmarkStart w:id="23" w:name="pre-experiment-calibration"/>
    <w:p>
      <w:pPr>
        <w:pStyle w:val="Heading3"/>
      </w:pPr>
      <w:r>
        <w:t xml:space="preserve">4.1 Pre-Experiment Calibration</w:t>
      </w:r>
    </w:p>
    <w:p>
      <w:pPr>
        <w:pStyle w:val="FirstParagraph"/>
      </w:pPr>
      <w:r>
        <w:t xml:space="preserve">Prior to deployment in Almaty, all equipment must be calibrated according to international ISO/IEC standards. The Telecommunication Engineer must verify that the test devices are registered on the local network operator's SIM cards and that the 5G NSA mode is enabled.</w:t>
      </w:r>
    </w:p>
    <w:bookmarkEnd w:id="23"/>
    <w:bookmarkStart w:id="24" w:name="data-collection-phase"/>
    <w:p>
      <w:pPr>
        <w:pStyle w:val="Heading3"/>
      </w:pPr>
      <w:r>
        <w:t xml:space="preserve">4.2 Data Collection Phase</w:t>
      </w:r>
    </w:p>
    <w:p>
      <w:pPr>
        <w:pStyle w:val="FirstParagraph"/>
      </w:pPr>
      <w:r>
        <w:t xml:space="preserve">The experiment will be conducted over three consecutive days to account for varying network loads.</w:t>
      </w:r>
    </w:p>
    <w:p>
      <w:pPr>
        <w:numPr>
          <w:ilvl w:val="0"/>
          <w:numId w:val="1002"/>
        </w:numPr>
        <w:pStyle w:val="Compact"/>
      </w:pPr>
      <w:r>
        <w:rPr>
          <w:bCs/>
          <w:b/>
        </w:rPr>
        <w:t xml:space="preserve">Day 1:</w:t>
      </w:r>
      <w:r>
        <w:t xml:space="preserve"> </w:t>
      </w:r>
      <w:r>
        <w:t xml:space="preserve">Focus on Zone A and Zone B during off-peak hours (02:00 - 06:00).</w:t>
      </w:r>
    </w:p>
    <w:p>
      <w:pPr>
        <w:numPr>
          <w:ilvl w:val="0"/>
          <w:numId w:val="1002"/>
        </w:numPr>
        <w:pStyle w:val="Compact"/>
      </w:pPr>
      <w:r>
        <w:rPr>
          <w:bCs/>
          <w:b/>
        </w:rPr>
        <w:t xml:space="preserve">Day 2:</w:t>
      </w:r>
      <w:r>
        <w:t xml:space="preserve"> </w:t>
      </w:r>
      <w:r>
        <w:t xml:space="preserve">Focus on Zone A and Zone B during peak hours (18:00 - 22:00).</w:t>
      </w:r>
    </w:p>
    <w:p>
      <w:pPr>
        <w:numPr>
          <w:ilvl w:val="0"/>
          <w:numId w:val="1002"/>
        </w:numPr>
        <w:pStyle w:val="Compact"/>
      </w:pPr>
      <w:r>
        <w:rPr>
          <w:bCs/>
          <w:b/>
        </w:rPr>
        <w:t xml:space="preserve">Day 3:</w:t>
      </w:r>
      <w:r>
        <w:t xml:space="preserve"> </w:t>
      </w:r>
      <w:r>
        <w:t xml:space="preserve">Focus on Zone C (Medeu slopes) to assess topographical impact.</w:t>
      </w:r>
    </w:p>
    <w:p>
      <w:pPr>
        <w:pStyle w:val="FirstParagraph"/>
      </w:pPr>
      <w:r>
        <w:t xml:space="preserve">During the drive test, the Telecommunication Engineer will monitor the Reference Signal Received Power (RSRP) and Reference Signal Received Quality (RSRQ). Any drop in RSRP below -110 dBm will be flagged as a potential coverage hole.</w:t>
      </w:r>
    </w:p>
    <w:bookmarkEnd w:id="24"/>
    <w:bookmarkStart w:id="25" w:name="latency-testing"/>
    <w:p>
      <w:pPr>
        <w:pStyle w:val="Heading3"/>
      </w:pPr>
      <w:r>
        <w:t xml:space="preserve">4.3 Latency Testing</w:t>
      </w:r>
    </w:p>
    <w:p>
      <w:pPr>
        <w:pStyle w:val="FirstParagraph"/>
      </w:pPr>
      <w:r>
        <w:t xml:space="preserve">Ping tests will be executed continuously to a local server located in Almaty to measure round-trip time (RTT). The target latency for the 5G network is below 20ms. Any deviation exceeding 50ms will be recorded as an anomaly requiring further investigation.</w:t>
      </w:r>
    </w:p>
    <w:bookmarkEnd w:id="25"/>
    <w:bookmarkEnd w:id="26"/>
    <w:bookmarkStart w:id="27" w:name="safety-and-compliance"/>
    <w:p>
      <w:pPr>
        <w:pStyle w:val="Heading2"/>
      </w:pPr>
      <w:r>
        <w:t xml:space="preserve">5. Safety and Compliance</w:t>
      </w:r>
    </w:p>
    <w:p>
      <w:pPr>
        <w:pStyle w:val="FirstParagraph"/>
      </w:pPr>
      <w:r>
        <w:t xml:space="preserve">The Telecommunication Engineer must adhere to all safety regulations in Kazakhstan. This includes wearing high-visibility gear during outdoor measurements and ensuring that the vehicle used for drive tests is properly insured. Furthermore, the experiment must comply with the radiation safety standards set by the Ministry of Emergency Situations of the Republic of Kazakhstan. No equipment shall be operated in a manner that causes harmful interference to existing critical infrastructure.</w:t>
      </w:r>
    </w:p>
    <w:bookmarkEnd w:id="27"/>
    <w:bookmarkStart w:id="28" w:name="data-analysis-and-reporting"/>
    <w:p>
      <w:pPr>
        <w:pStyle w:val="Heading2"/>
      </w:pPr>
      <w:r>
        <w:t xml:space="preserve">6. Data Analysis and Reporting</w:t>
      </w:r>
    </w:p>
    <w:p>
      <w:pPr>
        <w:pStyle w:val="FirstParagraph"/>
      </w:pPr>
      <w:r>
        <w:t xml:space="preserve">Upon completion of the fieldwork in Almaty, the Telecommunication Engineer will process the collected data using specialized network planning software. The analysis will focus on:</w:t>
      </w:r>
    </w:p>
    <w:p>
      <w:pPr>
        <w:numPr>
          <w:ilvl w:val="0"/>
          <w:numId w:val="1003"/>
        </w:numPr>
        <w:pStyle w:val="Compact"/>
      </w:pPr>
      <w:r>
        <w:t xml:space="preserve">Heatmaps of signal coverage across the tested zones.</w:t>
      </w:r>
    </w:p>
    <w:p>
      <w:pPr>
        <w:numPr>
          <w:ilvl w:val="0"/>
          <w:numId w:val="1003"/>
        </w:numPr>
        <w:pStyle w:val="Compact"/>
      </w:pPr>
      <w:r>
        <w:t xml:space="preserve">Statistical analysis of latency and throughput.</w:t>
      </w:r>
    </w:p>
    <w:p>
      <w:pPr>
        <w:numPr>
          <w:ilvl w:val="0"/>
          <w:numId w:val="1003"/>
        </w:numPr>
        <w:pStyle w:val="Compact"/>
      </w:pPr>
      <w:r>
        <w:t xml:space="preserve">Identification of interference sources.</w:t>
      </w:r>
    </w:p>
    <w:p>
      <w:pPr>
        <w:pStyle w:val="FirstParagraph"/>
      </w:pPr>
      <w:r>
        <w:t xml:space="preserve">A final report will be generated, detailing the findings and recommending necessary adjustments to the network configuration, such as antenna tilt adjustments or power level modifications.</w:t>
      </w:r>
    </w:p>
    <w:bookmarkEnd w:id="28"/>
    <w:p>
      <w:pPr>
        <w:pStyle w:val="BodyText"/>
      </w:pPr>
      <w:r>
        <w:rPr>
          <w:bCs/>
          <w:b/>
        </w:rPr>
        <w:t xml:space="preserve">Lead Telecommunication Engineer</w:t>
      </w:r>
      <w:r>
        <w:br/>
      </w:r>
      <w:r>
        <w:t xml:space="preserve">Signature: ________________________</w:t>
      </w:r>
      <w:r>
        <w:br/>
      </w:r>
      <w:r>
        <w:t xml:space="preserve">Date: ________________________</w:t>
      </w:r>
    </w:p>
    <w:p>
      <w:pPr>
        <w:pStyle w:val="BodyText"/>
      </w:pPr>
      <w:r>
        <w:rPr>
          <w:bCs/>
          <w:b/>
        </w:rPr>
        <w:t xml:space="preserve">Project Supervisor</w:t>
      </w:r>
      <w:r>
        <w:br/>
      </w:r>
      <w:r>
        <w:t xml:space="preserve">Signature: ________________________</w:t>
      </w:r>
      <w:r>
        <w:br/>
      </w:r>
      <w:r>
        <w:t xml:space="preserve">Date: 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Assessment - Almaty, Kazakhstan</dc:title>
  <dc:creator/>
  <dc:language>en</dc:language>
  <cp:keywords/>
  <dcterms:created xsi:type="dcterms:W3CDTF">2026-10-10T03:35:25Z</dcterms:created>
  <dcterms:modified xsi:type="dcterms:W3CDTF">2026-10-10T03:35:25Z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