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a Telecommunication Engineer conducting research and development activities in the Netherlands Amsterdam area. The protocol is designed to ensure that all experiments are conducted in a safe, efficient, and compliant manner, adhering to local regulations and industry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new telecommunication technologies in urban environments.</w:t>
      </w:r>
    </w:p>
    <w:p>
      <w:pPr>
        <w:numPr>
          <w:ilvl w:val="0"/>
          <w:numId w:val="1001"/>
        </w:numPr>
        <w:pStyle w:val="Compact"/>
      </w:pPr>
      <w:r>
        <w:t xml:space="preserve">To assess the impact of these technologies on existing infrastructure in the Netherlands Amsterdam region.</w:t>
      </w:r>
    </w:p>
    <w:p>
      <w:pPr>
        <w:numPr>
          <w:ilvl w:val="0"/>
          <w:numId w:val="1001"/>
        </w:numPr>
        <w:pStyle w:val="Compact"/>
      </w:pPr>
      <w:r>
        <w:t xml:space="preserve">To ensure compliance with Dutch and European Union regulations regarding telecommunication services.</w:t>
      </w:r>
    </w:p>
    <w:bookmarkEnd w:id="22"/>
    <w:bookmarkStart w:id="23" w:name="scope"/>
    <w:p>
      <w:pPr>
        <w:pStyle w:val="Heading2"/>
      </w:pPr>
      <w:r>
        <w:t xml:space="preserve">3. Scope</w:t>
      </w:r>
    </w:p>
    <w:p>
      <w:pPr>
        <w:pStyle w:val="FirstParagraph"/>
      </w:pPr>
      <w:r>
        <w:t xml:space="preserve">This protocol applies to all Telecommunication Engineers involved in the experiment within the Netherlands Amsterdam area. It covers the planning, execution, monitoring, and reporting phases of the experiment.</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Design and execute experiments, collect data, ensure safety compliance.</w:t>
            </w:r>
          </w:p>
        </w:tc>
      </w:tr>
      <w:tr>
        <w:tc>
          <w:tcPr/>
          <w:p>
            <w:pPr>
              <w:pStyle w:val="Compact"/>
              <w:jc w:val="left"/>
            </w:pPr>
            <w:r>
              <w:t xml:space="preserve">Project Manager</w:t>
            </w:r>
          </w:p>
        </w:tc>
        <w:tc>
          <w:tcPr/>
          <w:p>
            <w:pPr>
              <w:pStyle w:val="Compact"/>
              <w:jc w:val="left"/>
            </w:pPr>
            <w:r>
              <w:t xml:space="preserve">Oversee the experiment, ensure adherence to the protocol, manage resources.</w:t>
            </w:r>
          </w:p>
        </w:tc>
      </w:tr>
      <w:tr>
        <w:tc>
          <w:tcPr/>
          <w:p>
            <w:pPr>
              <w:pStyle w:val="Compact"/>
              <w:jc w:val="left"/>
            </w:pPr>
            <w:r>
              <w:t xml:space="preserve">Safety Officer</w:t>
            </w:r>
          </w:p>
        </w:tc>
        <w:tc>
          <w:tcPr/>
          <w:p>
            <w:pPr>
              <w:pStyle w:val="Compact"/>
              <w:jc w:val="left"/>
            </w:pPr>
            <w:r>
              <w:t xml:space="preserve">Monitor safety conditions, conduct risk assessments, ensure regulatory compliance.</w:t>
            </w:r>
          </w:p>
        </w:tc>
      </w:tr>
    </w:tbl>
    <w:bookmarkEnd w:id="24"/>
    <w:bookmarkStart w:id="25" w:name="experimental-setup"/>
    <w:p>
      <w:pPr>
        <w:pStyle w:val="Heading2"/>
      </w:pPr>
      <w:r>
        <w:t xml:space="preserve">5. Experimental Setup</w:t>
      </w:r>
    </w:p>
    <w:p>
      <w:pPr>
        <w:pStyle w:val="FirstParagraph"/>
      </w:pPr>
      <w:r>
        <w:t xml:space="preserve">The experimental setup will include the following components:</w:t>
      </w:r>
    </w:p>
    <w:p>
      <w:pPr>
        <w:numPr>
          <w:ilvl w:val="0"/>
          <w:numId w:val="1002"/>
        </w:numPr>
        <w:pStyle w:val="Compact"/>
      </w:pPr>
      <w:r>
        <w:t xml:space="preserve">Telecommunication equipment (e.g., routers, switches, antennas).</w:t>
      </w:r>
    </w:p>
    <w:p>
      <w:pPr>
        <w:numPr>
          <w:ilvl w:val="0"/>
          <w:numId w:val="1002"/>
        </w:numPr>
        <w:pStyle w:val="Compact"/>
      </w:pPr>
      <w:r>
        <w:t xml:space="preserve">Measurement devices (e.g., spectrum analyzers, signal generators).</w:t>
      </w:r>
    </w:p>
    <w:p>
      <w:pPr>
        <w:numPr>
          <w:ilvl w:val="0"/>
          <w:numId w:val="1002"/>
        </w:numPr>
        <w:pStyle w:val="Compact"/>
      </w:pPr>
      <w:r>
        <w:t xml:space="preserve">Data collection tools (e.g., software for monitoring network performance).</w:t>
      </w:r>
    </w:p>
    <w:p>
      <w:pPr>
        <w:pStyle w:val="FirstParagraph"/>
      </w:pPr>
      <w:r>
        <w:t xml:space="preserve">All equipment must be calibrated and tested before use to ensure accuracy and reliability.</w:t>
      </w:r>
    </w:p>
    <w:bookmarkEnd w:id="25"/>
    <w:bookmarkStart w:id="29" w:name="procedure"/>
    <w:p>
      <w:pPr>
        <w:pStyle w:val="Heading2"/>
      </w:pPr>
      <w:r>
        <w:t xml:space="preserve">6. Procedure</w:t>
      </w:r>
    </w:p>
    <w:bookmarkStart w:id="26" w:name="pre-experiment-phase"/>
    <w:p>
      <w:pPr>
        <w:pStyle w:val="Heading3"/>
      </w:pPr>
      <w:r>
        <w:t xml:space="preserve">6.1 Pre-Experiment Phase</w:t>
      </w:r>
    </w:p>
    <w:p>
      <w:pPr>
        <w:numPr>
          <w:ilvl w:val="0"/>
          <w:numId w:val="1003"/>
        </w:numPr>
        <w:pStyle w:val="Compact"/>
      </w:pPr>
      <w:r>
        <w:t xml:space="preserve">Conduct a risk assessment to identify potential hazards.</w:t>
      </w:r>
    </w:p>
    <w:p>
      <w:pPr>
        <w:numPr>
          <w:ilvl w:val="0"/>
          <w:numId w:val="1003"/>
        </w:numPr>
        <w:pStyle w:val="Compact"/>
      </w:pPr>
      <w:r>
        <w:t xml:space="preserve">Obtain necessary permits and approvals from local authorities in the Netherlands Amsterdam.</w:t>
      </w:r>
    </w:p>
    <w:p>
      <w:pPr>
        <w:numPr>
          <w:ilvl w:val="0"/>
          <w:numId w:val="1003"/>
        </w:numPr>
        <w:pStyle w:val="Compact"/>
      </w:pPr>
      <w:r>
        <w:t xml:space="preserve">Brief all team members on the experiment protocol and safety procedures.</w:t>
      </w:r>
    </w:p>
    <w:bookmarkEnd w:id="26"/>
    <w:bookmarkStart w:id="27" w:name="experiment-execution"/>
    <w:p>
      <w:pPr>
        <w:pStyle w:val="Heading3"/>
      </w:pPr>
      <w:r>
        <w:t xml:space="preserve">6.2 Experiment Execution</w:t>
      </w:r>
    </w:p>
    <w:p>
      <w:pPr>
        <w:numPr>
          <w:ilvl w:val="0"/>
          <w:numId w:val="1004"/>
        </w:numPr>
        <w:pStyle w:val="Compact"/>
      </w:pPr>
      <w:r>
        <w:t xml:space="preserve">Set up the telecommunication equipment according to the design specifications.</w:t>
      </w:r>
    </w:p>
    <w:p>
      <w:pPr>
        <w:numPr>
          <w:ilvl w:val="0"/>
          <w:numId w:val="1004"/>
        </w:numPr>
        <w:pStyle w:val="Compact"/>
      </w:pPr>
      <w:r>
        <w:t xml:space="preserve">Begin data collection and monitor the performance of the new technologies.</w:t>
      </w:r>
    </w:p>
    <w:p>
      <w:pPr>
        <w:numPr>
          <w:ilvl w:val="0"/>
          <w:numId w:val="1004"/>
        </w:numPr>
        <w:pStyle w:val="Compact"/>
      </w:pPr>
      <w:r>
        <w:t xml:space="preserve">Record all observations and measurements in a standardized format.</w:t>
      </w:r>
    </w:p>
    <w:bookmarkEnd w:id="27"/>
    <w:bookmarkStart w:id="28" w:name="post-experiment-phase"/>
    <w:p>
      <w:pPr>
        <w:pStyle w:val="Heading3"/>
      </w:pPr>
      <w:r>
        <w:t xml:space="preserve">6.3 Post-Experiment Phase</w:t>
      </w:r>
    </w:p>
    <w:p>
      <w:pPr>
        <w:numPr>
          <w:ilvl w:val="0"/>
          <w:numId w:val="1005"/>
        </w:numPr>
        <w:pStyle w:val="Compact"/>
      </w:pPr>
      <w:r>
        <w:t xml:space="preserve">Analyze the collected data to evaluate the performance of the technologies.</w:t>
      </w:r>
    </w:p>
    <w:p>
      <w:pPr>
        <w:numPr>
          <w:ilvl w:val="0"/>
          <w:numId w:val="1005"/>
        </w:numPr>
        <w:pStyle w:val="Compact"/>
      </w:pPr>
      <w:r>
        <w:t xml:space="preserve">Prepare a detailed report summarizing the findings and recommendations.</w:t>
      </w:r>
    </w:p>
    <w:p>
      <w:pPr>
        <w:numPr>
          <w:ilvl w:val="0"/>
          <w:numId w:val="1005"/>
        </w:numPr>
        <w:pStyle w:val="Compact"/>
      </w:pPr>
      <w:r>
        <w:t xml:space="preserve">Ensure all equipment is safely dismantled and stored.</w:t>
      </w:r>
    </w:p>
    <w:bookmarkEnd w:id="28"/>
    <w:bookmarkEnd w:id="29"/>
    <w:bookmarkStart w:id="30" w:name="safety-considerations"/>
    <w:p>
      <w:pPr>
        <w:pStyle w:val="Heading2"/>
      </w:pPr>
      <w:r>
        <w:t xml:space="preserve">7. Safety Considerations</w:t>
      </w:r>
    </w:p>
    <w:p>
      <w:pPr>
        <w:pStyle w:val="FirstParagraph"/>
      </w:pPr>
      <w:r>
        <w:t xml:space="preserve">Safety is a top priority in this experiment. The following measures must be taken:</w:t>
      </w:r>
    </w:p>
    <w:p>
      <w:pPr>
        <w:numPr>
          <w:ilvl w:val="0"/>
          <w:numId w:val="1006"/>
        </w:numPr>
        <w:pStyle w:val="Compact"/>
      </w:pPr>
      <w:r>
        <w:t xml:space="preserve">Ensure all personnel are trained in safety procedures and emergency response.</w:t>
      </w:r>
    </w:p>
    <w:p>
      <w:pPr>
        <w:numPr>
          <w:ilvl w:val="0"/>
          <w:numId w:val="1006"/>
        </w:numPr>
        <w:pStyle w:val="Compact"/>
      </w:pPr>
      <w:r>
        <w:t xml:space="preserve">Use personal protective equipment (PPE) as required.</w:t>
      </w:r>
    </w:p>
    <w:p>
      <w:pPr>
        <w:numPr>
          <w:ilvl w:val="0"/>
          <w:numId w:val="1006"/>
        </w:numPr>
        <w:pStyle w:val="Compact"/>
      </w:pPr>
      <w:r>
        <w:t xml:space="preserve">Regularly inspect equipment for potential hazards.</w:t>
      </w:r>
    </w:p>
    <w:p>
      <w:pPr>
        <w:numPr>
          <w:ilvl w:val="0"/>
          <w:numId w:val="1006"/>
        </w:numPr>
        <w:pStyle w:val="Compact"/>
      </w:pPr>
      <w:r>
        <w:t xml:space="preserve">Comply with all local safety regulations in the Netherlands Amsterdam.</w:t>
      </w:r>
    </w:p>
    <w:bookmarkEnd w:id="30"/>
    <w:bookmarkStart w:id="31" w:name="data-management"/>
    <w:p>
      <w:pPr>
        <w:pStyle w:val="Heading2"/>
      </w:pPr>
      <w:r>
        <w:t xml:space="preserve">8. Data Management</w:t>
      </w:r>
    </w:p>
    <w:p>
      <w:pPr>
        <w:pStyle w:val="FirstParagraph"/>
      </w:pPr>
      <w:r>
        <w:t xml:space="preserve">All data collected during the experiment must be managed in accordance with the following guidelines:</w:t>
      </w:r>
    </w:p>
    <w:p>
      <w:pPr>
        <w:numPr>
          <w:ilvl w:val="0"/>
          <w:numId w:val="1007"/>
        </w:numPr>
        <w:pStyle w:val="Compact"/>
      </w:pPr>
      <w:r>
        <w:t xml:space="preserve">Data must be stored securely and backed up regularly.</w:t>
      </w:r>
    </w:p>
    <w:p>
      <w:pPr>
        <w:numPr>
          <w:ilvl w:val="0"/>
          <w:numId w:val="1007"/>
        </w:numPr>
        <w:pStyle w:val="Compact"/>
      </w:pPr>
      <w:r>
        <w:t xml:space="preserve">Access to data must be restricted to authorized personnel only.</w:t>
      </w:r>
    </w:p>
    <w:p>
      <w:pPr>
        <w:numPr>
          <w:ilvl w:val="0"/>
          <w:numId w:val="1007"/>
        </w:numPr>
        <w:pStyle w:val="Compact"/>
      </w:pPr>
      <w:r>
        <w:t xml:space="preserve">Data must be anonymized to protect privacy, in compliance with GDPR regulations.</w:t>
      </w:r>
    </w:p>
    <w:bookmarkEnd w:id="31"/>
    <w:bookmarkStart w:id="32" w:name="reporting"/>
    <w:p>
      <w:pPr>
        <w:pStyle w:val="Heading2"/>
      </w:pPr>
      <w:r>
        <w:t xml:space="preserve">9. Reporting</w:t>
      </w:r>
    </w:p>
    <w:p>
      <w:pPr>
        <w:pStyle w:val="FirstParagraph"/>
      </w:pPr>
      <w:r>
        <w:t xml:space="preserve">A comprehensive report must be prepared at the conclusion of the experiment. The report should include:</w:t>
      </w:r>
    </w:p>
    <w:p>
      <w:pPr>
        <w:numPr>
          <w:ilvl w:val="0"/>
          <w:numId w:val="1008"/>
        </w:numPr>
        <w:pStyle w:val="Compact"/>
      </w:pPr>
      <w:r>
        <w:t xml:space="preserve">Summary of the experiment objectives and methodology.</w:t>
      </w:r>
    </w:p>
    <w:p>
      <w:pPr>
        <w:numPr>
          <w:ilvl w:val="0"/>
          <w:numId w:val="1008"/>
        </w:numPr>
        <w:pStyle w:val="Compact"/>
      </w:pPr>
      <w:r>
        <w:t xml:space="preserve">Detailed analysis of the data collected.</w:t>
      </w:r>
    </w:p>
    <w:p>
      <w:pPr>
        <w:numPr>
          <w:ilvl w:val="0"/>
          <w:numId w:val="1008"/>
        </w:numPr>
        <w:pStyle w:val="Compact"/>
      </w:pPr>
      <w:r>
        <w:t xml:space="preserve">Conclusions and recommendations based on the findings.</w:t>
      </w:r>
    </w:p>
    <w:p>
      <w:pPr>
        <w:numPr>
          <w:ilvl w:val="0"/>
          <w:numId w:val="1008"/>
        </w:numPr>
        <w:pStyle w:val="Compact"/>
      </w:pPr>
      <w:r>
        <w:t xml:space="preserve">Any issues encountered during the experiment and how they were addressed.</w:t>
      </w:r>
    </w:p>
    <w:bookmarkEnd w:id="32"/>
    <w:bookmarkStart w:id="33" w:name="compliance"/>
    <w:p>
      <w:pPr>
        <w:pStyle w:val="Heading2"/>
      </w:pPr>
      <w:r>
        <w:t xml:space="preserve">10. Compliance</w:t>
      </w:r>
    </w:p>
    <w:p>
      <w:pPr>
        <w:pStyle w:val="FirstParagraph"/>
      </w:pPr>
      <w:r>
        <w:t xml:space="preserve">This experiment must comply with all relevant laws and regulations, including:</w:t>
      </w:r>
    </w:p>
    <w:p>
      <w:pPr>
        <w:numPr>
          <w:ilvl w:val="0"/>
          <w:numId w:val="1009"/>
        </w:numPr>
        <w:pStyle w:val="Compact"/>
      </w:pPr>
      <w:r>
        <w:t xml:space="preserve">Dutch Telecommunications Act.</w:t>
      </w:r>
    </w:p>
    <w:p>
      <w:pPr>
        <w:numPr>
          <w:ilvl w:val="0"/>
          <w:numId w:val="1009"/>
        </w:numPr>
        <w:pStyle w:val="Compact"/>
      </w:pPr>
      <w:r>
        <w:t xml:space="preserve">European Union regulations on telecommunications.</w:t>
      </w:r>
    </w:p>
    <w:p>
      <w:pPr>
        <w:numPr>
          <w:ilvl w:val="0"/>
          <w:numId w:val="1009"/>
        </w:numPr>
        <w:pStyle w:val="Compact"/>
      </w:pPr>
      <w:r>
        <w:t xml:space="preserve">Local regulations specific to the Netherlands Amsterdam area.</w:t>
      </w:r>
    </w:p>
    <w:bookmarkEnd w:id="33"/>
    <w:bookmarkStart w:id="34" w:name="conclusion"/>
    <w:p>
      <w:pPr>
        <w:pStyle w:val="Heading2"/>
      </w:pPr>
      <w:r>
        <w:t xml:space="preserve">11. Conclusion</w:t>
      </w:r>
    </w:p>
    <w:p>
      <w:pPr>
        <w:pStyle w:val="FirstParagraph"/>
      </w:pPr>
      <w:r>
        <w:t xml:space="preserve">This Experiment Protocol provides a structured approach for Telecommunication Engineers conducting research in the Netherlands Amsterdam. By following this protocol, we aim to ensure the success of the experiment while maintaining the highest standards of safety and compliance.</w:t>
      </w:r>
    </w:p>
    <w:bookmarkEnd w:id="34"/>
    <w:p>
      <w:pPr>
        <w:pStyle w:val="BodyText"/>
      </w:pPr>
      <w:r>
        <w:t xml:space="preserve">For further information, please contact the Project Manager or Safety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Netherlands Amsterdam</dc:title>
  <dc:creator/>
  <dc:language>en</dc:language>
  <cp:keywords/>
  <dcterms:created xsi:type="dcterms:W3CDTF">2026-10-10T02:39:17Z</dcterms:created>
  <dcterms:modified xsi:type="dcterms:W3CDTF">2026-10-10T02:39:17Z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