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Wellington,</w:t>
      </w:r>
      <w:r>
        <w:t xml:space="preserve"> </w:t>
      </w:r>
      <w:r>
        <w:t xml:space="preserve">New</w:t>
      </w:r>
      <w:r>
        <w:t xml:space="preserve"> </w:t>
      </w:r>
      <w:r>
        <w:t xml:space="preserve">Zealand</w:t>
      </w:r>
    </w:p>
    <w:bookmarkStart w:id="31"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Wellington, New Zealand</w:t>
      </w:r>
    </w:p>
    <w:p>
      <w:pPr>
        <w:pStyle w:val="BodyText"/>
      </w:pPr>
      <w:r>
        <w:rPr>
          <w:bCs/>
          <w:b/>
        </w:rPr>
        <w:t xml:space="preserve">Role:</w:t>
      </w:r>
      <w:r>
        <w:t xml:space="preserve"> </w:t>
      </w:r>
      <w:r>
        <w:t xml:space="preserve">Telecommunication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WorkSafe New Zealand, NZS 3000, NZS 6495</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Telecommunication Engineer conducting field assessments and network optimization trials within the Wellington region of New Zealand. The primary objective is to evaluate the performance of next-generation telecommunications infrastructure, specifically focusing on 5G small cell integration and fiber-to-the-premises (FTTP) latency metrics in urban and semi-urban environments.</w:t>
      </w:r>
    </w:p>
    <w:p>
      <w:pPr>
        <w:pStyle w:val="BodyText"/>
      </w:pPr>
      <w:r>
        <w:t xml:space="preserve">Wellington presents unique challenges due to its topography, high wind speeds, and dense urban layout. This protocol ensures that all experimental activities are conducted safely, ethically, and in compliance with local regulations.</w:t>
      </w:r>
    </w:p>
    <w:bookmarkEnd w:id="20"/>
    <w:bookmarkStart w:id="21" w:name="scope-and-definitions"/>
    <w:p>
      <w:pPr>
        <w:pStyle w:val="Heading2"/>
      </w:pPr>
      <w:r>
        <w:t xml:space="preserve">2. Scope and Definitions</w:t>
      </w:r>
    </w:p>
    <w:p>
      <w:pPr>
        <w:pStyle w:val="FirstParagraph"/>
      </w:pPr>
      <w:r>
        <w:t xml:space="preserve">The scope of this experiment includes the deployment of temporary test equipment, signal propagation analysis, and data throughput testing. The Telecommunication Engineer is responsible for executing these tasks while adhering to the Health and Safety at Work Act 2015.</w:t>
      </w:r>
    </w:p>
    <w:p>
      <w:pPr>
        <w:numPr>
          <w:ilvl w:val="0"/>
          <w:numId w:val="1001"/>
        </w:numPr>
        <w:pStyle w:val="Compact"/>
      </w:pPr>
      <w:r>
        <w:rPr>
          <w:bCs/>
          <w:b/>
        </w:rPr>
        <w:t xml:space="preserve">Telecommunication Engineer:</w:t>
      </w:r>
      <w:r>
        <w:t xml:space="preserve"> </w:t>
      </w:r>
      <w:r>
        <w:t xml:space="preserve">The qualified professional responsible for the technical execution of the experiment.</w:t>
      </w:r>
    </w:p>
    <w:p>
      <w:pPr>
        <w:numPr>
          <w:ilvl w:val="0"/>
          <w:numId w:val="1001"/>
        </w:numPr>
        <w:pStyle w:val="Compact"/>
      </w:pPr>
      <w:r>
        <w:rPr>
          <w:bCs/>
          <w:b/>
        </w:rPr>
        <w:t xml:space="preserve">Wellington Region:</w:t>
      </w:r>
      <w:r>
        <w:t xml:space="preserve"> </w:t>
      </w:r>
      <w:r>
        <w:t xml:space="preserve">Includes the central business district (CBD), Hutt Valley, and Lower Hutt, characterized by variable terrain and high population density.</w:t>
      </w:r>
    </w:p>
    <w:p>
      <w:pPr>
        <w:numPr>
          <w:ilvl w:val="0"/>
          <w:numId w:val="1001"/>
        </w:numPr>
        <w:pStyle w:val="Compact"/>
      </w:pPr>
      <w:r>
        <w:rPr>
          <w:bCs/>
          <w:b/>
        </w:rPr>
        <w:t xml:space="preserve">Experiment Protocol:</w:t>
      </w:r>
      <w:r>
        <w:t xml:space="preserve"> </w:t>
      </w:r>
      <w:r>
        <w:t xml:space="preserve">The step-by-step guide governing the methodology, safety, and reporting of the field trial.</w:t>
      </w:r>
    </w:p>
    <w:bookmarkEnd w:id="21"/>
    <w:bookmarkStart w:id="22" w:name="safety-and-regulatory-compliance"/>
    <w:p>
      <w:pPr>
        <w:pStyle w:val="Heading2"/>
      </w:pPr>
      <w:r>
        <w:t xml:space="preserve">3. Safety and Regulatory Compliance</w:t>
      </w:r>
    </w:p>
    <w:p>
      <w:pPr>
        <w:pStyle w:val="FirstParagraph"/>
      </w:pPr>
      <w:r>
        <w:t xml:space="preserve">Safety is paramount. The Telecommunication Engineer must adhere to the following:</w:t>
      </w:r>
    </w:p>
    <w:p>
      <w:pPr>
        <w:numPr>
          <w:ilvl w:val="0"/>
          <w:numId w:val="1002"/>
        </w:numPr>
        <w:pStyle w:val="Compact"/>
      </w:pPr>
      <w:r>
        <w:rPr>
          <w:bCs/>
          <w:b/>
        </w:rPr>
        <w:t xml:space="preserve">WorkSafe NZ:</w:t>
      </w:r>
      <w:r>
        <w:t xml:space="preserve"> </w:t>
      </w:r>
      <w:r>
        <w:t xml:space="preserve">All activities must comply with WorkSafe New Zealand guidelines. A Job Safety Analysis (JSA) must be completed prior to commencement.</w:t>
      </w:r>
    </w:p>
    <w:p>
      <w:pPr>
        <w:numPr>
          <w:ilvl w:val="0"/>
          <w:numId w:val="1002"/>
        </w:numPr>
        <w:pStyle w:val="Compact"/>
      </w:pPr>
      <w:r>
        <w:rPr>
          <w:bCs/>
          <w:b/>
        </w:rPr>
        <w:t xml:space="preserve">Electrical Safety:</w:t>
      </w:r>
      <w:r>
        <w:t xml:space="preserve"> </w:t>
      </w:r>
      <w:r>
        <w:t xml:space="preserve">Compliance with NZS 3000 (Wiring Rules) and NZS 6495 (Telecommunications Cabling) is mandatory.</w:t>
      </w:r>
    </w:p>
    <w:p>
      <w:pPr>
        <w:numPr>
          <w:ilvl w:val="0"/>
          <w:numId w:val="1002"/>
        </w:numPr>
        <w:pStyle w:val="Compact"/>
      </w:pPr>
      <w:r>
        <w:rPr>
          <w:bCs/>
          <w:b/>
        </w:rPr>
        <w:t xml:space="preserve">Working at Heights:</w:t>
      </w:r>
      <w:r>
        <w:t xml:space="preserve"> </w:t>
      </w:r>
      <w:r>
        <w:t xml:space="preserve">Given Wellington’s hilly terrain and rooftop installations, fall arrest systems must be used when working above 3 meters.</w:t>
      </w:r>
    </w:p>
    <w:p>
      <w:pPr>
        <w:numPr>
          <w:ilvl w:val="0"/>
          <w:numId w:val="1002"/>
        </w:numPr>
        <w:pStyle w:val="Compact"/>
      </w:pPr>
      <w:r>
        <w:rPr>
          <w:bCs/>
          <w:b/>
        </w:rPr>
        <w:t xml:space="preserve">Weather Conditions:</w:t>
      </w:r>
      <w:r>
        <w:t xml:space="preserve"> </w:t>
      </w:r>
      <w:r>
        <w:t xml:space="preserve">Wellington is known for strong winds. Work on elevated structures must cease if wind speeds exceed 60 km/h.</w:t>
      </w:r>
    </w:p>
    <w:p>
      <w:pPr>
        <w:pStyle w:val="FirstParagraph"/>
      </w:pPr>
      <w:r>
        <w:t xml:space="preserve">WARNING: Failure to comply with safety protocols may result in immediate termination of the experiment and legal consequences.</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Calibrated, 5G capable</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Adjustable frequency range</w:t>
            </w:r>
          </w:p>
        </w:tc>
        <w:tc>
          <w:tcPr/>
          <w:p>
            <w:pPr>
              <w:pStyle w:val="Compact"/>
              <w:jc w:val="left"/>
            </w:pPr>
            <w:r>
              <w:t xml:space="preserve">1</w:t>
            </w:r>
          </w:p>
        </w:tc>
      </w:tr>
      <w:tr>
        <w:tc>
          <w:tcPr/>
          <w:p>
            <w:pPr>
              <w:pStyle w:val="Compact"/>
              <w:jc w:val="left"/>
            </w:pPr>
            <w:r>
              <w:t xml:space="preserve">Optical Time-Domain Reflectometer (OTDR)</w:t>
            </w:r>
          </w:p>
        </w:tc>
        <w:tc>
          <w:tcPr/>
          <w:p>
            <w:pPr>
              <w:pStyle w:val="Compact"/>
              <w:jc w:val="left"/>
            </w:pPr>
            <w:r>
              <w:t xml:space="preserve">For fiber testing</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Helmets, high-vis vests, safety boots</w:t>
            </w:r>
          </w:p>
        </w:tc>
        <w:tc>
          <w:tcPr/>
          <w:p>
            <w:pPr>
              <w:pStyle w:val="Compact"/>
              <w:jc w:val="left"/>
            </w:pPr>
            <w:r>
              <w:t xml:space="preserve">As needed</w:t>
            </w:r>
          </w:p>
        </w:tc>
      </w:tr>
      <w:tr>
        <w:tc>
          <w:tcPr/>
          <w:p>
            <w:pPr>
              <w:pStyle w:val="Compact"/>
              <w:jc w:val="left"/>
            </w:pPr>
            <w:r>
              <w:t xml:space="preserve">Portable Power Supply</w:t>
            </w:r>
          </w:p>
        </w:tc>
        <w:tc>
          <w:tcPr/>
          <w:p>
            <w:pPr>
              <w:pStyle w:val="Compact"/>
              <w:jc w:val="left"/>
            </w:pPr>
            <w:r>
              <w:t xml:space="preserve">Compliant with NZ electrical standards</w:t>
            </w:r>
          </w:p>
        </w:tc>
        <w:tc>
          <w:tcPr/>
          <w:p>
            <w:pPr>
              <w:pStyle w:val="Compact"/>
              <w:jc w:val="left"/>
            </w:pPr>
            <w:r>
              <w:t xml:space="preserve">1</w:t>
            </w:r>
          </w:p>
        </w:tc>
      </w:tr>
    </w:tbl>
    <w:bookmarkEnd w:id="23"/>
    <w:bookmarkStart w:id="27" w:name="methodology"/>
    <w:p>
      <w:pPr>
        <w:pStyle w:val="Heading2"/>
      </w:pPr>
      <w:r>
        <w:t xml:space="preserve">5. Methodology</w:t>
      </w:r>
    </w:p>
    <w:bookmarkStart w:id="24" w:name="site-selection"/>
    <w:p>
      <w:pPr>
        <w:pStyle w:val="Heading3"/>
      </w:pPr>
      <w:r>
        <w:t xml:space="preserve">5.1 Site Selection</w:t>
      </w:r>
    </w:p>
    <w:p>
      <w:pPr>
        <w:pStyle w:val="FirstParagraph"/>
      </w:pPr>
      <w:r>
        <w:t xml:space="preserve">Sites will be selected in Wellington based on varying topographical features. Priority areas include:</w:t>
      </w:r>
    </w:p>
    <w:p>
      <w:pPr>
        <w:numPr>
          <w:ilvl w:val="0"/>
          <w:numId w:val="1003"/>
        </w:numPr>
        <w:pStyle w:val="Compact"/>
      </w:pPr>
      <w:r>
        <w:t xml:space="preserve">Wellington CBD: High-density urban environment.</w:t>
      </w:r>
    </w:p>
    <w:p>
      <w:pPr>
        <w:numPr>
          <w:ilvl w:val="0"/>
          <w:numId w:val="1003"/>
        </w:numPr>
        <w:pStyle w:val="Compact"/>
      </w:pPr>
      <w:r>
        <w:t xml:space="preserve">Mount Victoria: Elevated terrain for signal propagation testing.</w:t>
      </w:r>
    </w:p>
    <w:p>
      <w:pPr>
        <w:numPr>
          <w:ilvl w:val="0"/>
          <w:numId w:val="1003"/>
        </w:numPr>
        <w:pStyle w:val="Compact"/>
      </w:pPr>
      <w:r>
        <w:t xml:space="preserve">Lower Hutt: Semi-urban area with mixed infrastructure.</w:t>
      </w:r>
    </w:p>
    <w:bookmarkEnd w:id="24"/>
    <w:bookmarkStart w:id="25" w:name="deployment-procedure"/>
    <w:p>
      <w:pPr>
        <w:pStyle w:val="Heading3"/>
      </w:pPr>
      <w:r>
        <w:t xml:space="preserve">5.2 Deployment Procedure</w:t>
      </w:r>
    </w:p>
    <w:p>
      <w:pPr>
        <w:numPr>
          <w:ilvl w:val="0"/>
          <w:numId w:val="1004"/>
        </w:numPr>
        <w:pStyle w:val="Compact"/>
      </w:pPr>
      <w:r>
        <w:rPr>
          <w:bCs/>
          <w:b/>
        </w:rPr>
        <w:t xml:space="preserve">Pre-Deployment Check:</w:t>
      </w:r>
      <w:r>
        <w:t xml:space="preserve"> </w:t>
      </w:r>
      <w:r>
        <w:t xml:space="preserve">Verify all equipment calibration certificates. Ensure PPE is worn.</w:t>
      </w:r>
    </w:p>
    <w:p>
      <w:pPr>
        <w:numPr>
          <w:ilvl w:val="0"/>
          <w:numId w:val="1004"/>
        </w:numPr>
        <w:pStyle w:val="Compact"/>
      </w:pPr>
      <w:r>
        <w:rPr>
          <w:bCs/>
          <w:b/>
        </w:rPr>
        <w:t xml:space="preserve">Site Survey:</w:t>
      </w:r>
      <w:r>
        <w:t xml:space="preserve"> </w:t>
      </w:r>
      <w:r>
        <w:t xml:space="preserve">Conduct a visual inspection of the site. Identify potential hazards such as overhead power lines or unstable structures.</w:t>
      </w:r>
    </w:p>
    <w:p>
      <w:pPr>
        <w:numPr>
          <w:ilvl w:val="0"/>
          <w:numId w:val="1004"/>
        </w:numPr>
        <w:pStyle w:val="Compact"/>
      </w:pPr>
      <w:r>
        <w:rPr>
          <w:bCs/>
          <w:b/>
        </w:rPr>
        <w:t xml:space="preserve">Equipment Setup:</w:t>
      </w:r>
      <w:r>
        <w:t xml:space="preserve"> </w:t>
      </w:r>
      <w:r>
        <w:t xml:space="preserve">Install test equipment according to manufacturer specifications. Ensure all connections are secure and weatherproofed.</w:t>
      </w:r>
    </w:p>
    <w:p>
      <w:pPr>
        <w:numPr>
          <w:ilvl w:val="0"/>
          <w:numId w:val="1004"/>
        </w:numPr>
        <w:pStyle w:val="Compact"/>
      </w:pPr>
      <w:r>
        <w:rPr>
          <w:bCs/>
          <w:b/>
        </w:rPr>
        <w:t xml:space="preserve">Signal Testing:</w:t>
      </w:r>
      <w:r>
        <w:t xml:space="preserve"> </w:t>
      </w:r>
      <w:r>
        <w:t xml:space="preserve">Use the spectrum analyzer to measure signal strength, interference, and noise levels. Record data at 15-minute intervals for a period of 4 hours.</w:t>
      </w:r>
    </w:p>
    <w:p>
      <w:pPr>
        <w:numPr>
          <w:ilvl w:val="0"/>
          <w:numId w:val="1004"/>
        </w:numPr>
        <w:pStyle w:val="Compact"/>
      </w:pPr>
      <w:r>
        <w:rPr>
          <w:bCs/>
          <w:b/>
        </w:rPr>
        <w:t xml:space="preserve">Fiber Testing:</w:t>
      </w:r>
      <w:r>
        <w:t xml:space="preserve"> </w:t>
      </w:r>
      <w:r>
        <w:t xml:space="preserve">If applicable, use the OTDR to test fiber optic links for attenuation and faults.</w:t>
      </w:r>
    </w:p>
    <w:bookmarkEnd w:id="25"/>
    <w:bookmarkStart w:id="26" w:name="data-collection"/>
    <w:p>
      <w:pPr>
        <w:pStyle w:val="Heading3"/>
      </w:pPr>
      <w:r>
        <w:t xml:space="preserve">5.3 Data Collection</w:t>
      </w:r>
    </w:p>
    <w:p>
      <w:pPr>
        <w:pStyle w:val="FirstParagraph"/>
      </w:pPr>
      <w:r>
        <w:t xml:space="preserve">Data will be collected using automated logging software. Key metrics include:</w:t>
      </w:r>
    </w:p>
    <w:p>
      <w:pPr>
        <w:numPr>
          <w:ilvl w:val="0"/>
          <w:numId w:val="1005"/>
        </w:numPr>
        <w:pStyle w:val="Compact"/>
      </w:pPr>
      <w:r>
        <w:t xml:space="preserve">Signal-to-Noise Ratio (SNR)</w:t>
      </w:r>
    </w:p>
    <w:p>
      <w:pPr>
        <w:numPr>
          <w:ilvl w:val="0"/>
          <w:numId w:val="1005"/>
        </w:numPr>
        <w:pStyle w:val="Compact"/>
      </w:pPr>
      <w:r>
        <w:t xml:space="preserve">Latency (ms)</w:t>
      </w:r>
    </w:p>
    <w:p>
      <w:pPr>
        <w:numPr>
          <w:ilvl w:val="0"/>
          <w:numId w:val="1005"/>
        </w:numPr>
        <w:pStyle w:val="Compact"/>
      </w:pPr>
      <w:r>
        <w:t xml:space="preserve">Throughput (Mbps)</w:t>
      </w:r>
    </w:p>
    <w:p>
      <w:pPr>
        <w:numPr>
          <w:ilvl w:val="0"/>
          <w:numId w:val="1005"/>
        </w:numPr>
        <w:pStyle w:val="Compact"/>
      </w:pPr>
      <w:r>
        <w:t xml:space="preserve">Packet Loss (%)</w:t>
      </w:r>
    </w:p>
    <w:bookmarkEnd w:id="26"/>
    <w:bookmarkEnd w:id="27"/>
    <w:bookmarkStart w:id="28" w:name="risk-management"/>
    <w:p>
      <w:pPr>
        <w:pStyle w:val="Heading2"/>
      </w:pPr>
      <w:r>
        <w:t xml:space="preserve">6. Risk Management</w:t>
      </w:r>
    </w:p>
    <w:p>
      <w:pPr>
        <w:pStyle w:val="FirstParagraph"/>
      </w:pPr>
      <w:r>
        <w:t xml:space="preserve">The Telecommunication Engineer must identify and mitigate risks associated with the experiment. Common risks in Wellington include:</w:t>
      </w:r>
    </w:p>
    <w:p>
      <w:pPr>
        <w:numPr>
          <w:ilvl w:val="0"/>
          <w:numId w:val="1006"/>
        </w:numPr>
        <w:pStyle w:val="Compact"/>
      </w:pPr>
      <w:r>
        <w:rPr>
          <w:bCs/>
          <w:b/>
        </w:rPr>
        <w:t xml:space="preserve">High Winds:</w:t>
      </w:r>
      <w:r>
        <w:t xml:space="preserve"> </w:t>
      </w:r>
      <w:r>
        <w:t xml:space="preserve">Secure all equipment to prevent it from becoming airborne.</w:t>
      </w:r>
    </w:p>
    <w:p>
      <w:pPr>
        <w:numPr>
          <w:ilvl w:val="0"/>
          <w:numId w:val="1006"/>
        </w:numPr>
        <w:pStyle w:val="Compact"/>
      </w:pPr>
      <w:r>
        <w:rPr>
          <w:bCs/>
          <w:b/>
        </w:rPr>
        <w:t xml:space="preserve">Earthquakes:</w:t>
      </w:r>
      <w:r>
        <w:t xml:space="preserve"> </w:t>
      </w:r>
      <w:r>
        <w:t xml:space="preserve">Be aware of seismic activity. Have an evacuation plan in place.</w:t>
      </w:r>
    </w:p>
    <w:p>
      <w:pPr>
        <w:numPr>
          <w:ilvl w:val="0"/>
          <w:numId w:val="1006"/>
        </w:numPr>
        <w:pStyle w:val="Compact"/>
      </w:pPr>
      <w:r>
        <w:rPr>
          <w:bCs/>
          <w:b/>
        </w:rPr>
        <w:t xml:space="preserve">Electrical Hazards:</w:t>
      </w:r>
      <w:r>
        <w:t xml:space="preserve"> </w:t>
      </w:r>
      <w:r>
        <w:t xml:space="preserve">Ensure all equipment is properly grounded.</w:t>
      </w:r>
    </w:p>
    <w:bookmarkEnd w:id="28"/>
    <w:bookmarkStart w:id="29" w:name="reporting-and-documentation"/>
    <w:p>
      <w:pPr>
        <w:pStyle w:val="Heading2"/>
      </w:pPr>
      <w:r>
        <w:t xml:space="preserve">7. Reporting and Documentation</w:t>
      </w:r>
    </w:p>
    <w:p>
      <w:pPr>
        <w:pStyle w:val="FirstParagraph"/>
      </w:pPr>
      <w:r>
        <w:t xml:space="preserve">Upon completion of the experiment, the Telecommunication Engineer must submit a detailed report. The report should include:</w:t>
      </w:r>
    </w:p>
    <w:p>
      <w:pPr>
        <w:numPr>
          <w:ilvl w:val="0"/>
          <w:numId w:val="1007"/>
        </w:numPr>
        <w:pStyle w:val="Compact"/>
      </w:pPr>
      <w:r>
        <w:t xml:space="preserve">Summary of activities performed.</w:t>
      </w:r>
    </w:p>
    <w:p>
      <w:pPr>
        <w:numPr>
          <w:ilvl w:val="0"/>
          <w:numId w:val="1007"/>
        </w:numPr>
        <w:pStyle w:val="Compact"/>
      </w:pPr>
      <w:r>
        <w:t xml:space="preserve">Data analysis and findings.</w:t>
      </w:r>
    </w:p>
    <w:p>
      <w:pPr>
        <w:numPr>
          <w:ilvl w:val="0"/>
          <w:numId w:val="1007"/>
        </w:numPr>
        <w:pStyle w:val="Compact"/>
      </w:pPr>
      <w:r>
        <w:t xml:space="preserve">Any deviations from the protocol.</w:t>
      </w:r>
    </w:p>
    <w:p>
      <w:pPr>
        <w:numPr>
          <w:ilvl w:val="0"/>
          <w:numId w:val="1007"/>
        </w:numPr>
        <w:pStyle w:val="Compact"/>
      </w:pPr>
      <w:r>
        <w:t xml:space="preserve">Recommendations for network optimization.</w:t>
      </w:r>
    </w:p>
    <w:p>
      <w:pPr>
        <w:pStyle w:val="FirstParagraph"/>
      </w:pPr>
      <w:r>
        <w:t xml:space="preserve">All data must be stored securely in compliance with the Privacy Act 2020.</w:t>
      </w:r>
    </w:p>
    <w:bookmarkEnd w:id="29"/>
    <w:bookmarkStart w:id="30" w:name="conclusion"/>
    <w:p>
      <w:pPr>
        <w:pStyle w:val="Heading2"/>
      </w:pPr>
      <w:r>
        <w:t xml:space="preserve">8. Conclusion</w:t>
      </w:r>
    </w:p>
    <w:p>
      <w:pPr>
        <w:pStyle w:val="FirstParagraph"/>
      </w:pPr>
      <w:r>
        <w:t xml:space="preserve">This Experiment Protocol provides a comprehensive framework for Telecommunication Engineers conducting field assessments in Wellington, New Zealand. By adhering to these guidelines, engineers can ensure the safety, accuracy, and reliability of their experiments while contributing to the advancement of telecommunications infrastructure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Wellington, New Zealand</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