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d2107722d92d5033dbd0fe81b0e63a6c064fd03"/>
    <w:p>
      <w:pPr>
        <w:pStyle w:val="Heading1"/>
      </w:pPr>
      <w:r>
        <w:t xml:space="preserve">Experiment Protocol: Telecommunication Engineer</w:t>
      </w:r>
    </w:p>
    <w:p>
      <w:pPr>
        <w:pStyle w:val="FirstParagraph"/>
      </w:pPr>
      <w:r>
        <w:rPr>
          <w:bCs/>
          <w:b/>
        </w:rPr>
        <w:t xml:space="preserve">Location:</w:t>
      </w:r>
      <w:r>
        <w:t xml:space="preserve"> </w:t>
      </w:r>
      <w:r>
        <w:t xml:space="preserve">Johannesburg, South Africa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Research Division</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safety measures, and technical requirements for conducting field and laboratory experiments related to telecommunication systems in Johannesburg, South Africa. The primary objective is to evaluate the performance, reliability, and efficiency of next-generation telecommunication infrastructure under real-world conditions specific to the Johannesburg metropolitan area.</w:t>
      </w:r>
    </w:p>
    <w:p>
      <w:pPr>
        <w:pStyle w:val="BodyText"/>
      </w:pPr>
      <w:r>
        <w:t xml:space="preserve">As a Telecommunication Engineer, you are expected to adhere strictly to this protocol to ensure data integrity, personal safety, and compliance with local regulations. The experiments will focus on 5G network deployment, fiber optic connectivity, and signal propagation in urban environments.</w:t>
      </w:r>
    </w:p>
    <w:bookmarkEnd w:id="21"/>
    <w:bookmarkStart w:id="22" w:name="scope-and-applicability"/>
    <w:p>
      <w:pPr>
        <w:pStyle w:val="Heading2"/>
      </w:pPr>
      <w:r>
        <w:t xml:space="preserve">2. Scope and Applicability</w:t>
      </w:r>
    </w:p>
    <w:p>
      <w:pPr>
        <w:pStyle w:val="FirstParagraph"/>
      </w:pPr>
      <w:r>
        <w:t xml:space="preserve">This protocol applies to all Telecommunication Engineers, technicians, and support staff involved in the experiment. It covers activities conducted within the Johannesburg metropolitan area, including but not limited to Sandton, Rosebank, and the Johannesburg CBD. The scope includes:</w:t>
      </w:r>
    </w:p>
    <w:p>
      <w:pPr>
        <w:numPr>
          <w:ilvl w:val="0"/>
          <w:numId w:val="1001"/>
        </w:numPr>
        <w:pStyle w:val="Compact"/>
      </w:pPr>
      <w:r>
        <w:t xml:space="preserve">Field testing of wireless communication systems.</w:t>
      </w:r>
    </w:p>
    <w:p>
      <w:pPr>
        <w:numPr>
          <w:ilvl w:val="0"/>
          <w:numId w:val="1001"/>
        </w:numPr>
        <w:pStyle w:val="Compact"/>
      </w:pPr>
      <w:r>
        <w:t xml:space="preserve">Installation and configuration of network equipment.</w:t>
      </w:r>
    </w:p>
    <w:p>
      <w:pPr>
        <w:numPr>
          <w:ilvl w:val="0"/>
          <w:numId w:val="1001"/>
        </w:numPr>
        <w:pStyle w:val="Compact"/>
      </w:pPr>
      <w:r>
        <w:t xml:space="preserve">Data collection and analysis.</w:t>
      </w:r>
    </w:p>
    <w:p>
      <w:pPr>
        <w:numPr>
          <w:ilvl w:val="0"/>
          <w:numId w:val="1001"/>
        </w:numPr>
        <w:pStyle w:val="Compact"/>
      </w:pPr>
      <w:r>
        <w:t xml:space="preserve">Compliance with South African National Standards (SANS) and International Telecommunication Union (ITU) guidelines.</w:t>
      </w:r>
    </w:p>
    <w:bookmarkEnd w:id="22"/>
    <w:bookmarkStart w:id="23" w:name="regulatory-compliance"/>
    <w:p>
      <w:pPr>
        <w:pStyle w:val="Heading2"/>
      </w:pPr>
      <w:r>
        <w:t xml:space="preserve">3. Regulatory Compliance</w:t>
      </w:r>
    </w:p>
    <w:p>
      <w:pPr>
        <w:pStyle w:val="FirstParagraph"/>
      </w:pPr>
      <w:r>
        <w:t xml:space="preserve">All experiments must comply with the regulations set by the Independent Communications Authority of South Africa (ICASA). This includes:</w:t>
      </w:r>
    </w:p>
    <w:p>
      <w:pPr>
        <w:numPr>
          <w:ilvl w:val="0"/>
          <w:numId w:val="1002"/>
        </w:numPr>
        <w:pStyle w:val="Compact"/>
      </w:pPr>
      <w:r>
        <w:t xml:space="preserve">Obtaining necessary licenses for radio frequency usage.</w:t>
      </w:r>
    </w:p>
    <w:p>
      <w:pPr>
        <w:numPr>
          <w:ilvl w:val="0"/>
          <w:numId w:val="1002"/>
        </w:numPr>
        <w:pStyle w:val="Compact"/>
      </w:pPr>
      <w:r>
        <w:t xml:space="preserve">Adhering to electromagnetic compatibility (EMC) standards.</w:t>
      </w:r>
    </w:p>
    <w:p>
      <w:pPr>
        <w:numPr>
          <w:ilvl w:val="0"/>
          <w:numId w:val="1002"/>
        </w:numPr>
        <w:pStyle w:val="Compact"/>
      </w:pPr>
      <w:r>
        <w:t xml:space="preserve">Ensuring data privacy in accordance with the Protection of Personal Information Act (POPIA).</w:t>
      </w:r>
    </w:p>
    <w:p>
      <w:pPr>
        <w:pStyle w:val="FirstParagraph"/>
      </w:pPr>
      <w:r>
        <w:rPr>
          <w:bCs/>
          <w:b/>
        </w:rPr>
        <w:t xml:space="preserve">Note:</w:t>
      </w:r>
      <w:r>
        <w:t xml:space="preserve"> </w:t>
      </w:r>
      <w:r>
        <w:t xml:space="preserve">Failure to comply with ICASA regulations may result in legal penalties and project delays.</w:t>
      </w:r>
    </w:p>
    <w:bookmarkEnd w:id="23"/>
    <w:bookmarkStart w:id="27" w:name="safety-procedures"/>
    <w:p>
      <w:pPr>
        <w:pStyle w:val="Heading2"/>
      </w:pPr>
      <w:r>
        <w:t xml:space="preserve">4. Safety Procedures</w:t>
      </w:r>
    </w:p>
    <w:p>
      <w:pPr>
        <w:pStyle w:val="FirstParagraph"/>
      </w:pPr>
      <w:r>
        <w:t xml:space="preserve">Safety is paramount for all Telecommunication Engineers working in Johannesburg. The following safety measures must be strictly followed:</w:t>
      </w:r>
    </w:p>
    <w:bookmarkStart w:id="24" w:name="personal-protective-equipment-ppe"/>
    <w:p>
      <w:pPr>
        <w:pStyle w:val="Heading3"/>
      </w:pPr>
      <w:r>
        <w:t xml:space="preserve">4.1 Personal Protective Equipment (PPE)</w:t>
      </w:r>
    </w:p>
    <w:p>
      <w:pPr>
        <w:numPr>
          <w:ilvl w:val="0"/>
          <w:numId w:val="1003"/>
        </w:numPr>
        <w:pStyle w:val="Compact"/>
      </w:pPr>
      <w:r>
        <w:t xml:space="preserve">Hard hats, safety boots, and high-visibility vests are mandatory for field work.</w:t>
      </w:r>
    </w:p>
    <w:p>
      <w:pPr>
        <w:numPr>
          <w:ilvl w:val="0"/>
          <w:numId w:val="1003"/>
        </w:numPr>
        <w:pStyle w:val="Compact"/>
      </w:pPr>
      <w:r>
        <w:t xml:space="preserve">Insulated gloves and safety glasses must be worn when handling electrical equipment.</w:t>
      </w:r>
    </w:p>
    <w:bookmarkEnd w:id="24"/>
    <w:bookmarkStart w:id="25" w:name="electrical-safety"/>
    <w:p>
      <w:pPr>
        <w:pStyle w:val="Heading3"/>
      </w:pPr>
      <w:r>
        <w:t xml:space="preserve">4.2 Electrical Safety</w:t>
      </w:r>
    </w:p>
    <w:p>
      <w:pPr>
        <w:numPr>
          <w:ilvl w:val="0"/>
          <w:numId w:val="1004"/>
        </w:numPr>
        <w:pStyle w:val="Compact"/>
      </w:pPr>
      <w:r>
        <w:t xml:space="preserve">Ensure all equipment is properly grounded.</w:t>
      </w:r>
    </w:p>
    <w:p>
      <w:pPr>
        <w:numPr>
          <w:ilvl w:val="0"/>
          <w:numId w:val="1004"/>
        </w:numPr>
        <w:pStyle w:val="Compact"/>
      </w:pPr>
      <w:r>
        <w:t xml:space="preserve">Use lockout/tagout procedures when working on live circuits.</w:t>
      </w:r>
    </w:p>
    <w:p>
      <w:pPr>
        <w:numPr>
          <w:ilvl w:val="0"/>
          <w:numId w:val="1004"/>
        </w:numPr>
        <w:pStyle w:val="Compact"/>
      </w:pPr>
      <w:r>
        <w:t xml:space="preserve">Be aware of overhead power lines and maintain safe distances.</w:t>
      </w:r>
    </w:p>
    <w:bookmarkEnd w:id="25"/>
    <w:bookmarkStart w:id="26" w:name="environmental-considerations"/>
    <w:p>
      <w:pPr>
        <w:pStyle w:val="Heading3"/>
      </w:pPr>
      <w:r>
        <w:t xml:space="preserve">4.3 Environmental Considerations</w:t>
      </w:r>
    </w:p>
    <w:p>
      <w:pPr>
        <w:numPr>
          <w:ilvl w:val="0"/>
          <w:numId w:val="1005"/>
        </w:numPr>
        <w:pStyle w:val="Compact"/>
      </w:pPr>
      <w:r>
        <w:t xml:space="preserve">Johannesburg's climate can vary; prepare for both hot and cold conditions.</w:t>
      </w:r>
    </w:p>
    <w:p>
      <w:pPr>
        <w:numPr>
          <w:ilvl w:val="0"/>
          <w:numId w:val="1005"/>
        </w:numPr>
        <w:pStyle w:val="Compact"/>
      </w:pPr>
      <w:r>
        <w:t xml:space="preserve">Be cautious of wildlife, especially in suburban and rural areas surrounding Johannesburg.</w:t>
      </w:r>
    </w:p>
    <w:bookmarkEnd w:id="26"/>
    <w:bookmarkEnd w:id="27"/>
    <w:bookmarkStart w:id="28" w:name="equipment-and-tools"/>
    <w:p>
      <w:pPr>
        <w:pStyle w:val="Heading2"/>
      </w:pPr>
      <w:r>
        <w:t xml:space="preserve">5. Equipment and Tools</w:t>
      </w:r>
    </w:p>
    <w:p>
      <w:pPr>
        <w:pStyle w:val="FirstParagraph"/>
      </w:pPr>
      <w:r>
        <w:t xml:space="preserve">The following equipment and tools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Spectrum Analyzer</w:t>
            </w:r>
          </w:p>
        </w:tc>
        <w:tc>
          <w:tcPr/>
          <w:p>
            <w:pPr>
              <w:pStyle w:val="Compact"/>
              <w:jc w:val="left"/>
            </w:pPr>
            <w:r>
              <w:t xml:space="preserve">For signal strength and interference analysis</w:t>
            </w:r>
          </w:p>
        </w:tc>
        <w:tc>
          <w:tcPr/>
          <w:p>
            <w:pPr>
              <w:pStyle w:val="Compact"/>
              <w:jc w:val="left"/>
            </w:pPr>
            <w:r>
              <w:t xml:space="preserve">2</w:t>
            </w:r>
          </w:p>
        </w:tc>
      </w:tr>
      <w:tr>
        <w:tc>
          <w:tcPr/>
          <w:p>
            <w:pPr>
              <w:pStyle w:val="Compact"/>
              <w:jc w:val="left"/>
            </w:pPr>
            <w:r>
              <w:t xml:space="preserve">Optical Time-Domain Reflectometer (OTDR)</w:t>
            </w:r>
          </w:p>
        </w:tc>
        <w:tc>
          <w:tcPr/>
          <w:p>
            <w:pPr>
              <w:pStyle w:val="Compact"/>
              <w:jc w:val="left"/>
            </w:pPr>
            <w:r>
              <w:t xml:space="preserve">For fiber optic testing</w:t>
            </w:r>
          </w:p>
        </w:tc>
        <w:tc>
          <w:tcPr/>
          <w:p>
            <w:pPr>
              <w:pStyle w:val="Compact"/>
              <w:jc w:val="left"/>
            </w:pPr>
            <w:r>
              <w:t xml:space="preserve">1</w:t>
            </w:r>
          </w:p>
        </w:tc>
      </w:tr>
      <w:tr>
        <w:tc>
          <w:tcPr/>
          <w:p>
            <w:pPr>
              <w:pStyle w:val="Compact"/>
              <w:jc w:val="left"/>
            </w:pPr>
            <w:r>
              <w:t xml:space="preserve">Network Analyzer</w:t>
            </w:r>
          </w:p>
        </w:tc>
        <w:tc>
          <w:tcPr/>
          <w:p>
            <w:pPr>
              <w:pStyle w:val="Compact"/>
              <w:jc w:val="left"/>
            </w:pPr>
            <w:r>
              <w:t xml:space="preserve">For RF component testing</w:t>
            </w:r>
          </w:p>
        </w:tc>
        <w:tc>
          <w:tcPr/>
          <w:p>
            <w:pPr>
              <w:pStyle w:val="Compact"/>
              <w:jc w:val="left"/>
            </w:pPr>
            <w:r>
              <w:t xml:space="preserve">1</w:t>
            </w:r>
          </w:p>
        </w:tc>
      </w:tr>
      <w:tr>
        <w:tc>
          <w:tcPr/>
          <w:p>
            <w:pPr>
              <w:pStyle w:val="Compact"/>
              <w:jc w:val="left"/>
            </w:pPr>
            <w:r>
              <w:t xml:space="preserve">Laptop with Analysis Software</w:t>
            </w:r>
          </w:p>
        </w:tc>
        <w:tc>
          <w:tcPr/>
          <w:p>
            <w:pPr>
              <w:pStyle w:val="Compact"/>
              <w:jc w:val="left"/>
            </w:pPr>
            <w:r>
              <w:t xml:space="preserve">For data collection and processing</w:t>
            </w:r>
          </w:p>
        </w:tc>
        <w:tc>
          <w:tcPr/>
          <w:p>
            <w:pPr>
              <w:pStyle w:val="Compact"/>
              <w:jc w:val="left"/>
            </w:pPr>
            <w:r>
              <w:t xml:space="preserve">3</w:t>
            </w:r>
          </w:p>
        </w:tc>
      </w:tr>
      <w:tr>
        <w:tc>
          <w:tcPr/>
          <w:p>
            <w:pPr>
              <w:pStyle w:val="Compact"/>
              <w:jc w:val="left"/>
            </w:pPr>
            <w:r>
              <w:t xml:space="preserve">GPS Device</w:t>
            </w:r>
          </w:p>
        </w:tc>
        <w:tc>
          <w:tcPr/>
          <w:p>
            <w:pPr>
              <w:pStyle w:val="Compact"/>
              <w:jc w:val="left"/>
            </w:pPr>
            <w:r>
              <w:t xml:space="preserve">For location tracking</w:t>
            </w:r>
          </w:p>
        </w:tc>
        <w:tc>
          <w:tcPr/>
          <w:p>
            <w:pPr>
              <w:pStyle w:val="Compact"/>
              <w:jc w:val="left"/>
            </w:pPr>
            <w:r>
              <w:t xml:space="preserve">2</w:t>
            </w:r>
          </w:p>
        </w:tc>
      </w:tr>
    </w:tbl>
    <w:bookmarkEnd w:id="28"/>
    <w:bookmarkStart w:id="32" w:name="experimental-procedure"/>
    <w:p>
      <w:pPr>
        <w:pStyle w:val="Heading2"/>
      </w:pPr>
      <w:r>
        <w:t xml:space="preserve">6. Experimental Procedure</w:t>
      </w:r>
    </w:p>
    <w:p>
      <w:pPr>
        <w:pStyle w:val="FirstParagraph"/>
      </w:pPr>
      <w:r>
        <w:t xml:space="preserve">The experiment will be conducted in three phases:</w:t>
      </w:r>
    </w:p>
    <w:bookmarkStart w:id="29" w:name="phase-1-site-survey"/>
    <w:p>
      <w:pPr>
        <w:pStyle w:val="Heading3"/>
      </w:pPr>
      <w:r>
        <w:t xml:space="preserve">6.1 Phase 1: Site Survey</w:t>
      </w:r>
    </w:p>
    <w:p>
      <w:pPr>
        <w:numPr>
          <w:ilvl w:val="0"/>
          <w:numId w:val="1006"/>
        </w:numPr>
        <w:pStyle w:val="Compact"/>
      </w:pPr>
      <w:r>
        <w:t xml:space="preserve">Identify and assess potential test sites in Johannesburg.</w:t>
      </w:r>
    </w:p>
    <w:p>
      <w:pPr>
        <w:numPr>
          <w:ilvl w:val="0"/>
          <w:numId w:val="1006"/>
        </w:numPr>
        <w:pStyle w:val="Compact"/>
      </w:pPr>
      <w:r>
        <w:t xml:space="preserve">Conduct a preliminary signal strength survey.</w:t>
      </w:r>
    </w:p>
    <w:p>
      <w:pPr>
        <w:numPr>
          <w:ilvl w:val="0"/>
          <w:numId w:val="1006"/>
        </w:numPr>
        <w:pStyle w:val="Compact"/>
      </w:pPr>
      <w:r>
        <w:t xml:space="preserve">Document environmental conditions and potential interference sources.</w:t>
      </w:r>
    </w:p>
    <w:bookmarkEnd w:id="29"/>
    <w:bookmarkStart w:id="30" w:name="phase-2-equipment-installation"/>
    <w:p>
      <w:pPr>
        <w:pStyle w:val="Heading3"/>
      </w:pPr>
      <w:r>
        <w:t xml:space="preserve">6.2 Phase 2: Equipment Installation</w:t>
      </w:r>
    </w:p>
    <w:p>
      <w:pPr>
        <w:numPr>
          <w:ilvl w:val="0"/>
          <w:numId w:val="1007"/>
        </w:numPr>
        <w:pStyle w:val="Compact"/>
      </w:pPr>
      <w:r>
        <w:t xml:space="preserve">Install and configure telecommunication equipment at selected sites.</w:t>
      </w:r>
    </w:p>
    <w:p>
      <w:pPr>
        <w:numPr>
          <w:ilvl w:val="0"/>
          <w:numId w:val="1007"/>
        </w:numPr>
        <w:pStyle w:val="Compact"/>
      </w:pPr>
      <w:r>
        <w:t xml:space="preserve">Perform initial tests to ensure proper functionality.</w:t>
      </w:r>
    </w:p>
    <w:p>
      <w:pPr>
        <w:numPr>
          <w:ilvl w:val="0"/>
          <w:numId w:val="1007"/>
        </w:numPr>
        <w:pStyle w:val="Compact"/>
      </w:pPr>
      <w:r>
        <w:t xml:space="preserve">Calibrate all instruments according to manufacturer specifications.</w:t>
      </w:r>
    </w:p>
    <w:bookmarkEnd w:id="30"/>
    <w:bookmarkStart w:id="31" w:name="phase-3-data-collection"/>
    <w:p>
      <w:pPr>
        <w:pStyle w:val="Heading3"/>
      </w:pPr>
      <w:r>
        <w:t xml:space="preserve">6.3 Phase 3: Data Collection</w:t>
      </w:r>
    </w:p>
    <w:p>
      <w:pPr>
        <w:numPr>
          <w:ilvl w:val="0"/>
          <w:numId w:val="1008"/>
        </w:numPr>
        <w:pStyle w:val="Compact"/>
      </w:pPr>
      <w:r>
        <w:t xml:space="preserve">Collect data on signal strength, latency, throughput, and error rates.</w:t>
      </w:r>
    </w:p>
    <w:p>
      <w:pPr>
        <w:numPr>
          <w:ilvl w:val="0"/>
          <w:numId w:val="1008"/>
        </w:numPr>
        <w:pStyle w:val="Compact"/>
      </w:pPr>
      <w:r>
        <w:t xml:space="preserve">Monitor network performance under various load conditions.</w:t>
      </w:r>
    </w:p>
    <w:p>
      <w:pPr>
        <w:numPr>
          <w:ilvl w:val="0"/>
          <w:numId w:val="1008"/>
        </w:numPr>
        <w:pStyle w:val="Compact"/>
      </w:pPr>
      <w:r>
        <w:t xml:space="preserve">Record any anomalies or issues encountered during testing.</w:t>
      </w:r>
    </w:p>
    <w:bookmarkEnd w:id="31"/>
    <w:bookmarkEnd w:id="32"/>
    <w:bookmarkStart w:id="33" w:name="data-analysis-and-reporting"/>
    <w:p>
      <w:pPr>
        <w:pStyle w:val="Heading2"/>
      </w:pPr>
      <w:r>
        <w:t xml:space="preserve">7. Data Analysis and Reporting</w:t>
      </w:r>
    </w:p>
    <w:p>
      <w:pPr>
        <w:pStyle w:val="FirstParagraph"/>
      </w:pPr>
      <w:r>
        <w:t xml:space="preserve">All data collected during the experiment must be analyzed using standardized methods. The Telecommunication Engineer is responsible for:</w:t>
      </w:r>
    </w:p>
    <w:p>
      <w:pPr>
        <w:numPr>
          <w:ilvl w:val="0"/>
          <w:numId w:val="1009"/>
        </w:numPr>
        <w:pStyle w:val="Compact"/>
      </w:pPr>
      <w:r>
        <w:t xml:space="preserve">Compiling raw data into structured datasets.</w:t>
      </w:r>
    </w:p>
    <w:p>
      <w:pPr>
        <w:numPr>
          <w:ilvl w:val="0"/>
          <w:numId w:val="1009"/>
        </w:numPr>
        <w:pStyle w:val="Compact"/>
      </w:pPr>
      <w:r>
        <w:t xml:space="preserve">Performing statistical analysis to identify trends and patterns.</w:t>
      </w:r>
    </w:p>
    <w:p>
      <w:pPr>
        <w:numPr>
          <w:ilvl w:val="0"/>
          <w:numId w:val="1009"/>
        </w:numPr>
        <w:pStyle w:val="Compact"/>
      </w:pPr>
      <w:r>
        <w:t xml:space="preserve">Preparing a comprehensive report detailing findings, conclusions, and recommendations.</w:t>
      </w:r>
    </w:p>
    <w:p>
      <w:pPr>
        <w:pStyle w:val="FirstParagraph"/>
      </w:pPr>
      <w:r>
        <w:t xml:space="preserve">Reports must be submitted within two weeks of completing the data collection phase.</w:t>
      </w:r>
    </w:p>
    <w:bookmarkEnd w:id="33"/>
    <w:bookmarkStart w:id="34" w:name="risk-management"/>
    <w:p>
      <w:pPr>
        <w:pStyle w:val="Heading2"/>
      </w:pPr>
      <w:r>
        <w:t xml:space="preserve">8. Risk Management</w:t>
      </w:r>
    </w:p>
    <w:p>
      <w:pPr>
        <w:pStyle w:val="FirstParagraph"/>
      </w:pPr>
      <w:r>
        <w:t xml:space="preserve">Identify and mitigate potential risks associated with the experiment:</w:t>
      </w:r>
    </w:p>
    <w:p>
      <w:pPr>
        <w:numPr>
          <w:ilvl w:val="0"/>
          <w:numId w:val="1010"/>
        </w:numPr>
        <w:pStyle w:val="Compact"/>
      </w:pPr>
      <w:r>
        <w:rPr>
          <w:bCs/>
          <w:b/>
        </w:rPr>
        <w:t xml:space="preserve">Technical Risks:</w:t>
      </w:r>
      <w:r>
        <w:t xml:space="preserve"> </w:t>
      </w:r>
      <w:r>
        <w:t xml:space="preserve">Equipment failure, software bugs, or network outages.</w:t>
      </w:r>
    </w:p>
    <w:p>
      <w:pPr>
        <w:numPr>
          <w:ilvl w:val="0"/>
          <w:numId w:val="1010"/>
        </w:numPr>
        <w:pStyle w:val="Compact"/>
      </w:pPr>
      <w:r>
        <w:rPr>
          <w:bCs/>
          <w:b/>
        </w:rPr>
        <w:t xml:space="preserve">Environmental Risks:</w:t>
      </w:r>
      <w:r>
        <w:t xml:space="preserve"> </w:t>
      </w:r>
      <w:r>
        <w:t xml:space="preserve">Extreme weather conditions or natural disasters.</w:t>
      </w:r>
    </w:p>
    <w:p>
      <w:pPr>
        <w:numPr>
          <w:ilvl w:val="0"/>
          <w:numId w:val="1010"/>
        </w:numPr>
        <w:pStyle w:val="Compact"/>
      </w:pPr>
      <w:r>
        <w:rPr>
          <w:bCs/>
          <w:b/>
        </w:rPr>
        <w:t xml:space="preserve">Human Risks:</w:t>
      </w:r>
      <w:r>
        <w:t xml:space="preserve"> </w:t>
      </w:r>
      <w:r>
        <w:t xml:space="preserve">Accidents, injuries, or health issues.</w:t>
      </w:r>
    </w:p>
    <w:p>
      <w:pPr>
        <w:pStyle w:val="FirstParagraph"/>
      </w:pPr>
      <w:r>
        <w:t xml:space="preserve">A risk assessment matrix should be completed before starting the experiment.</w:t>
      </w:r>
    </w:p>
    <w:bookmarkEnd w:id="34"/>
    <w:bookmarkStart w:id="35" w:name="conclusion"/>
    <w:p>
      <w:pPr>
        <w:pStyle w:val="Heading2"/>
      </w:pPr>
      <w:r>
        <w:t xml:space="preserve">9. Conclusion</w:t>
      </w:r>
    </w:p>
    <w:p>
      <w:pPr>
        <w:pStyle w:val="FirstParagraph"/>
      </w:pPr>
      <w:r>
        <w:t xml:space="preserve">This Experiment Protocol provides a comprehensive framework for Telecommunication Engineers conducting experiments in Johannesburg, South Africa. By adhering to these guidelines, you will ensure the safety, accuracy, and compliance of your work. Your contributions are vital to advancing telecommunication infrastructure in South Africa.</w:t>
      </w:r>
    </w:p>
    <w:bookmarkEnd w:id="35"/>
    <w:bookmarkStart w:id="38" w:name="appendices"/>
    <w:p>
      <w:pPr>
        <w:pStyle w:val="Heading2"/>
      </w:pPr>
      <w:r>
        <w:t xml:space="preserve">10. Appendices</w:t>
      </w:r>
    </w:p>
    <w:bookmarkStart w:id="36" w:name="appendix-a-glossary-of-terms"/>
    <w:p>
      <w:pPr>
        <w:pStyle w:val="Heading3"/>
      </w:pPr>
      <w:r>
        <w:t xml:space="preserve">Appendix A: Glossary of Terms</w:t>
      </w:r>
    </w:p>
    <w:p>
      <w:pPr>
        <w:numPr>
          <w:ilvl w:val="0"/>
          <w:numId w:val="1011"/>
        </w:numPr>
        <w:pStyle w:val="Compact"/>
      </w:pPr>
      <w:r>
        <w:rPr>
          <w:bCs/>
          <w:b/>
        </w:rPr>
        <w:t xml:space="preserve">ICASA:</w:t>
      </w:r>
      <w:r>
        <w:t xml:space="preserve"> </w:t>
      </w:r>
      <w:r>
        <w:t xml:space="preserve">Independent Communications Authority of South Africa.</w:t>
      </w:r>
    </w:p>
    <w:p>
      <w:pPr>
        <w:numPr>
          <w:ilvl w:val="0"/>
          <w:numId w:val="1011"/>
        </w:numPr>
        <w:pStyle w:val="Compact"/>
      </w:pPr>
      <w:r>
        <w:rPr>
          <w:bCs/>
          <w:b/>
        </w:rPr>
        <w:t xml:space="preserve">POPIA:</w:t>
      </w:r>
      <w:r>
        <w:t xml:space="preserve"> </w:t>
      </w:r>
      <w:r>
        <w:t xml:space="preserve">Protection of Personal Information Act.</w:t>
      </w:r>
    </w:p>
    <w:p>
      <w:pPr>
        <w:numPr>
          <w:ilvl w:val="0"/>
          <w:numId w:val="1011"/>
        </w:numPr>
        <w:pStyle w:val="Compact"/>
      </w:pPr>
      <w:r>
        <w:rPr>
          <w:bCs/>
          <w:b/>
        </w:rPr>
        <w:t xml:space="preserve">OTDR:</w:t>
      </w:r>
      <w:r>
        <w:t xml:space="preserve"> </w:t>
      </w:r>
      <w:r>
        <w:t xml:space="preserve">Optical Time-Domain Reflectometer.</w:t>
      </w:r>
    </w:p>
    <w:bookmarkEnd w:id="36"/>
    <w:bookmarkStart w:id="37" w:name="appendix-b-contact-information"/>
    <w:p>
      <w:pPr>
        <w:pStyle w:val="Heading3"/>
      </w:pPr>
      <w:r>
        <w:t xml:space="preserve">Appendix B: Contact Information</w:t>
      </w:r>
    </w:p>
    <w:p>
      <w:pPr>
        <w:numPr>
          <w:ilvl w:val="0"/>
          <w:numId w:val="1012"/>
        </w:numPr>
        <w:pStyle w:val="Compact"/>
      </w:pPr>
      <w:r>
        <w:rPr>
          <w:bCs/>
          <w:b/>
        </w:rPr>
        <w:t xml:space="preserve">Project Manager:</w:t>
      </w:r>
      <w:r>
        <w:t xml:space="preserve"> </w:t>
      </w:r>
      <w:r>
        <w:t xml:space="preserve">John Doe, john.doe@example.com</w:t>
      </w:r>
    </w:p>
    <w:p>
      <w:pPr>
        <w:numPr>
          <w:ilvl w:val="0"/>
          <w:numId w:val="1012"/>
        </w:numPr>
        <w:pStyle w:val="Compact"/>
      </w:pPr>
      <w:r>
        <w:rPr>
          <w:bCs/>
          <w:b/>
        </w:rPr>
        <w:t xml:space="preserve">Safety Officer:</w:t>
      </w:r>
      <w:r>
        <w:t xml:space="preserve"> </w:t>
      </w:r>
      <w:r>
        <w:t xml:space="preserve">Jane Smith, jane.smith@example.com</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Johannesburg, South Africa</dc:title>
  <dc:creator/>
  <dc:language>en</dc:language>
  <cp:keywords/>
  <dcterms:created xsi:type="dcterms:W3CDTF">2026-10-10T01:59:58Z</dcterms:created>
  <dcterms:modified xsi:type="dcterms:W3CDTF">2026-10-10T01:59:58Z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