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Network</w:t>
      </w:r>
      <w:r>
        <w:t xml:space="preserve"> </w:t>
      </w:r>
      <w:r>
        <w:t xml:space="preserve">Resilience</w:t>
      </w:r>
      <w:r>
        <w:t xml:space="preserve"> </w:t>
      </w:r>
      <w:r>
        <w:t xml:space="preserve">in</w:t>
      </w:r>
      <w:r>
        <w:t xml:space="preserve"> </w:t>
      </w:r>
      <w:r>
        <w:t xml:space="preserve">Khartoum</w:t>
      </w:r>
    </w:p>
    <w:bookmarkStart w:id="31" w:name="X915cd384345ca41e0955748ee087eea48beef53"/>
    <w:p>
      <w:pPr>
        <w:pStyle w:val="Heading1"/>
      </w:pPr>
      <w:r>
        <w:t xml:space="preserve">Experiment Protocol: Telecommunication Network Resilience in Khartoum</w:t>
      </w:r>
    </w:p>
    <w:p>
      <w:pPr>
        <w:pStyle w:val="FirstParagraph"/>
      </w:pPr>
      <w:r>
        <w:rPr>
          <w:bCs/>
          <w:b/>
        </w:rPr>
        <w:t xml:space="preserve">Document ID:</w:t>
      </w:r>
      <w:r>
        <w:t xml:space="preserve"> </w:t>
      </w:r>
      <w:r>
        <w:t xml:space="preserve">EXP-TC-SUD-2024-001</w:t>
      </w:r>
    </w:p>
    <w:p>
      <w:pPr>
        <w:pStyle w:val="BodyText"/>
      </w:pPr>
      <w:r>
        <w:rPr>
          <w:bCs/>
          <w:b/>
        </w:rPr>
        <w:t xml:space="preserve">Location:</w:t>
      </w:r>
      <w:r>
        <w:t xml:space="preserve"> </w:t>
      </w:r>
      <w:r>
        <w:t xml:space="preserve">Khartoum, Sudan</w:t>
      </w:r>
    </w:p>
    <w:p>
      <w:pPr>
        <w:pStyle w:val="BodyText"/>
      </w:pPr>
      <w:r>
        <w:rPr>
          <w:bCs/>
          <w:b/>
        </w:rPr>
        <w:t xml:space="preserve">Role:</w:t>
      </w:r>
      <w:r>
        <w:t xml:space="preserve"> </w:t>
      </w:r>
      <w:r>
        <w:t xml:space="preserve">Telecommunication Engineer</w:t>
      </w:r>
    </w:p>
    <w:p>
      <w:pPr>
        <w:pStyle w:val="BodyText"/>
      </w:pPr>
      <w:r>
        <w:rPr>
          <w:bCs/>
          <w:b/>
        </w:rPr>
        <w:t xml:space="preserve">Date:</w:t>
      </w:r>
      <w:r>
        <w:t xml:space="preserve"> </w:t>
      </w:r>
      <w:r>
        <w:t xml:space="preserve">October 2023</w:t>
      </w:r>
    </w:p>
    <w:p>
      <w:pPr>
        <w:pStyle w:val="BodyText"/>
      </w:pPr>
      <w:r>
        <w:rPr>
          <w:bCs/>
          <w:b/>
        </w:rPr>
        <w:t xml:space="preserve">Status:</w:t>
      </w:r>
      <w:r>
        <w:t xml:space="preserve"> </w:t>
      </w:r>
      <w:r>
        <w:t xml:space="preserve">Approved for Field Testing</w:t>
      </w:r>
    </w:p>
    <w:bookmarkStart w:id="20" w:name="introduction-and-objective"/>
    <w:p>
      <w:pPr>
        <w:pStyle w:val="Heading2"/>
      </w:pPr>
      <w:r>
        <w:t xml:space="preserve">1. Introduction and Objective</w:t>
      </w:r>
    </w:p>
    <w:p>
      <w:pPr>
        <w:pStyle w:val="FirstParagraph"/>
      </w:pPr>
      <w:r>
        <w:t xml:space="preserve">This Experiment Protocol outlines the methodology for assessing the resilience and performance of hybrid telecommunication networks in the Khartoum metropolitan area. The primary objective is to evaluate the efficacy of Software-Defined Networking (SDN) in maintaining connectivity during periods of infrastructure instability. Given the unique environmental and geopolitical challenges in Sudan, this protocol is designed specifically for the Telecommunication Engineer operating in this region. The experiment aims to quantify latency, packet loss, and throughput when switching between primary fiber optic backbones and secondary satellite or microwave links.</w:t>
      </w:r>
    </w:p>
    <w:bookmarkEnd w:id="20"/>
    <w:bookmarkStart w:id="21" w:name="scope-and-context"/>
    <w:p>
      <w:pPr>
        <w:pStyle w:val="Heading2"/>
      </w:pPr>
      <w:r>
        <w:t xml:space="preserve">2. Scope and Context</w:t>
      </w:r>
    </w:p>
    <w:p>
      <w:pPr>
        <w:pStyle w:val="FirstParagraph"/>
      </w:pPr>
      <w:r>
        <w:t xml:space="preserve">The scope of this experiment is limited to the urban centers of Khartoum, Omdurman, and Bahri. The Telecommunication Engineer must consider the specific constraints of the region, including high ambient temperatures, dust storms, and intermittent power supply. The protocol focuses on the integration of legacy infrastructure with modern 4G/LTE and emerging 5G testbeds. The experiment will simulate network congestion and physical link failures to test the failover mechanisms of the proposed architecture.</w:t>
      </w:r>
    </w:p>
    <w:bookmarkEnd w:id="21"/>
    <w:bookmarkStart w:id="22" w:name="safety-and-security-considerations"/>
    <w:p>
      <w:pPr>
        <w:pStyle w:val="Heading2"/>
      </w:pPr>
      <w:r>
        <w:t xml:space="preserve">3. Safety and Security Considerations</w:t>
      </w:r>
    </w:p>
    <w:p>
      <w:pPr>
        <w:pStyle w:val="FirstParagraph"/>
      </w:pPr>
      <w:r>
        <w:rPr>
          <w:bCs/>
          <w:b/>
        </w:rPr>
        <w:t xml:space="preserve">CRITICAL WARNING:</w:t>
      </w:r>
      <w:r>
        <w:t xml:space="preserve"> </w:t>
      </w:r>
      <w:r>
        <w:t xml:space="preserve">The Telecommunication Engineer must prioritize personal safety. Field operations in Khartoum require adherence to local security advisories. All equipment must be secured against theft and environmental damage.</w:t>
      </w:r>
    </w:p>
    <w:p>
      <w:pPr>
        <w:numPr>
          <w:ilvl w:val="0"/>
          <w:numId w:val="1001"/>
        </w:numPr>
        <w:pStyle w:val="Compact"/>
      </w:pPr>
      <w:r>
        <w:rPr>
          <w:bCs/>
          <w:b/>
        </w:rPr>
        <w:t xml:space="preserve">Electrical Safety:</w:t>
      </w:r>
      <w:r>
        <w:t xml:space="preserve"> </w:t>
      </w:r>
      <w:r>
        <w:t xml:space="preserve">Due to frequent power fluctuations, all testing equipment must be connected to industrial-grade UPS systems and surge protectors.</w:t>
      </w:r>
    </w:p>
    <w:p>
      <w:pPr>
        <w:numPr>
          <w:ilvl w:val="0"/>
          <w:numId w:val="1001"/>
        </w:numPr>
        <w:pStyle w:val="Compact"/>
      </w:pPr>
      <w:r>
        <w:rPr>
          <w:bCs/>
          <w:b/>
        </w:rPr>
        <w:t xml:space="preserve">Environmental Protection:</w:t>
      </w:r>
      <w:r>
        <w:t xml:space="preserve"> </w:t>
      </w:r>
      <w:r>
        <w:t xml:space="preserve">Equipment must be housed in IP65-rated enclosures to protect against sand and dust ingress common in the Khartoum region.</w:t>
      </w:r>
    </w:p>
    <w:p>
      <w:pPr>
        <w:numPr>
          <w:ilvl w:val="0"/>
          <w:numId w:val="1001"/>
        </w:numPr>
        <w:pStyle w:val="Compact"/>
      </w:pPr>
      <w:r>
        <w:rPr>
          <w:bCs/>
          <w:b/>
        </w:rPr>
        <w:t xml:space="preserve">Regulatory Compliance:</w:t>
      </w:r>
      <w:r>
        <w:t xml:space="preserve"> </w:t>
      </w:r>
      <w:r>
        <w:t xml:space="preserve">The Telecommunication Engineer must ensure all transmission frequencies comply with the regulations set by the National Communications Corporation (NCC) of Sudan.</w:t>
      </w:r>
    </w:p>
    <w:bookmarkEnd w:id="22"/>
    <w:bookmarkStart w:id="23" w:name="equipment-and-materials"/>
    <w:p>
      <w:pPr>
        <w:pStyle w:val="Heading2"/>
      </w:pPr>
      <w:r>
        <w:t xml:space="preserve">4. Equipment and Materials</w:t>
      </w:r>
    </w:p>
    <w:p>
      <w:pPr>
        <w:pStyle w:val="FirstParagraph"/>
      </w:pPr>
      <w:r>
        <w:t xml:space="preserve">Item</w:t>
      </w:r>
    </w:p>
    <w:p>
      <w:pPr>
        <w:pStyle w:val="BodyText"/>
      </w:pPr>
      <w:r>
        <w:t xml:space="preserve">Specification</w:t>
      </w:r>
    </w:p>
    <w:p>
      <w:pPr>
        <w:pStyle w:val="BodyText"/>
      </w:pPr>
      <w:r>
        <w:t xml:space="preserve">Quantity</w:t>
      </w:r>
    </w:p>
    <w:p>
      <w:pPr>
        <w:pStyle w:val="BodyText"/>
      </w:pPr>
      <w:r>
        <w:t xml:space="preserve">SDN Controller</w:t>
      </w:r>
    </w:p>
    <w:p>
      <w:pPr>
        <w:pStyle w:val="BodyText"/>
      </w:pPr>
      <w:r>
        <w:t xml:space="preserve">OpenFlow compatible, high availability</w:t>
      </w:r>
    </w:p>
    <w:p>
      <w:pPr>
        <w:pStyle w:val="BodyText"/>
      </w:pPr>
      <w:r>
        <w:t xml:space="preserve">1</w:t>
      </w:r>
    </w:p>
    <w:p>
      <w:pPr>
        <w:pStyle w:val="BodyText"/>
      </w:pPr>
      <w:r>
        <w:t xml:space="preserve">Network Analyzer</w:t>
      </w:r>
    </w:p>
    <w:p>
      <w:pPr>
        <w:pStyle w:val="BodyText"/>
      </w:pPr>
      <w:r>
        <w:t xml:space="preserve">Capable of Wireshark integration</w:t>
      </w:r>
    </w:p>
    <w:p>
      <w:pPr>
        <w:pStyle w:val="BodyText"/>
      </w:pPr>
      <w:r>
        <w:t xml:space="preserve">2</w:t>
      </w:r>
    </w:p>
    <w:p>
      <w:pPr>
        <w:pStyle w:val="BodyText"/>
      </w:pPr>
      <w:r>
        <w:t xml:space="preserve">Signal Generators</w:t>
      </w:r>
    </w:p>
    <w:p>
      <w:pPr>
        <w:pStyle w:val="BodyText"/>
      </w:pPr>
      <w:r>
        <w:t xml:space="preserve">Multi-band (700MHz - 2.6GHz)</w:t>
      </w:r>
    </w:p>
    <w:p>
      <w:pPr>
        <w:pStyle w:val="BodyText"/>
      </w:pPr>
      <w:r>
        <w:t xml:space="preserve">2</w:t>
      </w:r>
    </w:p>
    <w:p>
      <w:pPr>
        <w:pStyle w:val="BodyText"/>
      </w:pPr>
      <w:r>
        <w:t xml:space="preserve">Backup Power</w:t>
      </w:r>
    </w:p>
    <w:p>
      <w:pPr>
        <w:pStyle w:val="BodyText"/>
      </w:pPr>
      <w:r>
        <w:t xml:space="preserve">Solar generator with battery bank</w:t>
      </w:r>
    </w:p>
    <w:p>
      <w:pPr>
        <w:pStyle w:val="BodyText"/>
      </w:pPr>
      <w:r>
        <w:t xml:space="preserve">1</w:t>
      </w:r>
    </w:p>
    <w:p>
      <w:pPr>
        <w:pStyle w:val="BodyText"/>
      </w:pPr>
      <w:r>
        <w:t xml:space="preserve">Satellite Modem</w:t>
      </w:r>
    </w:p>
    <w:p>
      <w:pPr>
        <w:pStyle w:val="BodyText"/>
      </w:pPr>
      <w:r>
        <w:t xml:space="preserve">VSAT for backup link</w:t>
      </w:r>
    </w:p>
    <w:p>
      <w:pPr>
        <w:pStyle w:val="BodyText"/>
      </w:pPr>
      <w:r>
        <w:t xml:space="preserve">1</w:t>
      </w:r>
    </w:p>
    <w:bookmarkEnd w:id="23"/>
    <w:bookmarkStart w:id="27" w:name="methodology"/>
    <w:p>
      <w:pPr>
        <w:pStyle w:val="Heading2"/>
      </w:pPr>
      <w:r>
        <w:t xml:space="preserve">5. Methodology</w:t>
      </w:r>
    </w:p>
    <w:bookmarkStart w:id="24" w:name="phase-1-baseline-measurement"/>
    <w:p>
      <w:pPr>
        <w:pStyle w:val="Heading3"/>
      </w:pPr>
      <w:r>
        <w:t xml:space="preserve">5.1 Phase 1: Baseline Measurement</w:t>
      </w:r>
    </w:p>
    <w:p>
      <w:pPr>
        <w:pStyle w:val="FirstParagraph"/>
      </w:pPr>
      <w:r>
        <w:t xml:space="preserve">The Telecommunication Engineer will establish a baseline performance metric for the existing network infrastructure in Khartoum. This involves measuring latency, jitter, and packet loss under normal operating conditions. Tests will be conducted at three distinct intervals: morning (08:00), afternoon (14:00), and evening (20:00) to account for peak usage times. The engineer must document the signal-to-noise ratio (SNR) and reference signal received power (RSRP) at each test site.</w:t>
      </w:r>
    </w:p>
    <w:bookmarkEnd w:id="24"/>
    <w:bookmarkStart w:id="25" w:name="phase-2-stress-testing"/>
    <w:p>
      <w:pPr>
        <w:pStyle w:val="Heading3"/>
      </w:pPr>
      <w:r>
        <w:t xml:space="preserve">5.2 Phase 2: Stress Testing</w:t>
      </w:r>
    </w:p>
    <w:p>
      <w:pPr>
        <w:pStyle w:val="FirstParagraph"/>
      </w:pPr>
      <w:r>
        <w:t xml:space="preserve">In this phase, the Telecommunication Engineer will simulate network stress by introducing artificial congestion. This will be achieved by generating high-volume data traffic using the signal generators. The goal is to observe how the network handles load spikes typical of major events or emergencies in the region. The engineer must monitor the SDN controller's response time in rerouting traffic to less congested paths.</w:t>
      </w:r>
    </w:p>
    <w:bookmarkEnd w:id="25"/>
    <w:bookmarkStart w:id="26" w:name="phase-3-failover-simulation"/>
    <w:p>
      <w:pPr>
        <w:pStyle w:val="Heading3"/>
      </w:pPr>
      <w:r>
        <w:t xml:space="preserve">5.3 Phase 3: Failover Simulation</w:t>
      </w:r>
    </w:p>
    <w:p>
      <w:pPr>
        <w:pStyle w:val="FirstParagraph"/>
      </w:pPr>
      <w:r>
        <w:t xml:space="preserve">The core of this experiment involves simulating the failure of the primary fiber optic link. The Telecommunication Engineer will manually disconnect the primary link and measure the time taken for the network to switch to the secondary satellite or microwave link. The objective is to achieve a failover time of less than 50 milliseconds. The engineer must record any data loss during the transition and assess the stability of the connection post-failover.</w:t>
      </w:r>
    </w:p>
    <w:bookmarkEnd w:id="26"/>
    <w:bookmarkEnd w:id="27"/>
    <w:bookmarkStart w:id="28" w:name="data-collection-and-analysis"/>
    <w:p>
      <w:pPr>
        <w:pStyle w:val="Heading2"/>
      </w:pPr>
      <w:r>
        <w:t xml:space="preserve">6. Data Collection and Analysis</w:t>
      </w:r>
    </w:p>
    <w:p>
      <w:pPr>
        <w:pStyle w:val="FirstParagraph"/>
      </w:pPr>
      <w:r>
        <w:t xml:space="preserve">All data collected during the experiment must be stored securely and backed up to an off-site server. The Telecommunication Engineer will use statistical analysis to compare the baseline metrics with the stress test and failover results. Key performance indicators (KPIs) include:</w:t>
      </w:r>
    </w:p>
    <w:p>
      <w:pPr>
        <w:numPr>
          <w:ilvl w:val="0"/>
          <w:numId w:val="1002"/>
        </w:numPr>
        <w:pStyle w:val="Compact"/>
      </w:pPr>
      <w:r>
        <w:t xml:space="preserve">Average Latency (ms)</w:t>
      </w:r>
    </w:p>
    <w:p>
      <w:pPr>
        <w:numPr>
          <w:ilvl w:val="0"/>
          <w:numId w:val="1002"/>
        </w:numPr>
        <w:pStyle w:val="Compact"/>
      </w:pPr>
      <w:r>
        <w:t xml:space="preserve">Packet Loss Percentage (%)</w:t>
      </w:r>
    </w:p>
    <w:p>
      <w:pPr>
        <w:numPr>
          <w:ilvl w:val="0"/>
          <w:numId w:val="1002"/>
        </w:numPr>
        <w:pStyle w:val="Compact"/>
      </w:pPr>
      <w:r>
        <w:t xml:space="preserve">Failover Time (ms)</w:t>
      </w:r>
    </w:p>
    <w:p>
      <w:pPr>
        <w:numPr>
          <w:ilvl w:val="0"/>
          <w:numId w:val="1002"/>
        </w:numPr>
        <w:pStyle w:val="Compact"/>
      </w:pPr>
      <w:r>
        <w:t xml:space="preserve">Throughput (Mbps)</w:t>
      </w:r>
    </w:p>
    <w:p>
      <w:pPr>
        <w:pStyle w:val="FirstParagraph"/>
      </w:pPr>
      <w:r>
        <w:t xml:space="preserve">The analysis must account for external factors such as weather conditions and power outages that may have influenced the results. The Telecommunication Engineer should provide a detailed report highlighting any anomalies or unexpected behaviors observed during the experiment.</w:t>
      </w:r>
    </w:p>
    <w:bookmarkEnd w:id="28"/>
    <w:bookmarkStart w:id="29" w:name="conclusion-and-recommendations"/>
    <w:p>
      <w:pPr>
        <w:pStyle w:val="Heading2"/>
      </w:pPr>
      <w:r>
        <w:t xml:space="preserve">7. Conclusion and Recommendations</w:t>
      </w:r>
    </w:p>
    <w:p>
      <w:pPr>
        <w:pStyle w:val="FirstParagraph"/>
      </w:pPr>
      <w:r>
        <w:t xml:space="preserve">Upon completion of the experiment, the Telecommunication Engineer will compile a comprehensive report summarizing the findings. The report should include recommendations for improving network resilience in Khartoum, such as upgrading specific nodes, implementing additional redundancy, or optimizing SDN policies. The insights gained from this experiment will be crucial for enhancing the reliability of telecommunication services in Sudan, ensuring that critical communications remain operational even in challenging conditions.</w:t>
      </w:r>
    </w:p>
    <w:bookmarkEnd w:id="29"/>
    <w:bookmarkStart w:id="30" w:name="sign-off"/>
    <w:p>
      <w:pPr>
        <w:pStyle w:val="Heading2"/>
      </w:pPr>
      <w:r>
        <w:t xml:space="preserve">8. Sign-off</w:t>
      </w:r>
    </w:p>
    <w:p>
      <w:pPr>
        <w:pStyle w:val="FirstParagraph"/>
      </w:pPr>
      <w:r>
        <w:rPr>
          <w:bCs/>
          <w:b/>
        </w:rPr>
        <w:t xml:space="preserve">Telecommunication Engineer:</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Supervisor:</w:t>
      </w:r>
      <w:r>
        <w:t xml:space="preserve"> </w:t>
      </w:r>
      <w:r>
        <w:t xml:space="preserve">_________________________</w:t>
      </w:r>
    </w:p>
    <w:p>
      <w:pPr>
        <w:pStyle w:val="BodyText"/>
      </w:pPr>
      <w:r>
        <w:rPr>
          <w:bCs/>
          <w:b/>
        </w:rPr>
        <w:t xml:space="preserve">Date:</w:t>
      </w:r>
      <w:r>
        <w:t xml:space="preserve"> </w:t>
      </w:r>
      <w:r>
        <w:t xml:space="preserve">_________________________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Network Resilience in Khartoum</dc:title>
  <dc:creator/>
  <dc:language>en</dc:language>
  <cp:keywords/>
  <dcterms:created xsi:type="dcterms:W3CDTF">2026-10-10T01:53:26Z</dcterms:created>
  <dcterms:modified xsi:type="dcterms:W3CDTF">2026-10-10T01:53:26Z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