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Study</w:t>
      </w:r>
      <w:r>
        <w:t xml:space="preserve"> </w:t>
      </w:r>
      <w:r>
        <w:t xml:space="preserve">-</w:t>
      </w:r>
      <w:r>
        <w:t xml:space="preserve"> </w:t>
      </w:r>
      <w:r>
        <w:t xml:space="preserve">Istanbul,</w:t>
      </w:r>
      <w:r>
        <w:t xml:space="preserve"> </w:t>
      </w:r>
      <w:r>
        <w:t xml:space="preserve">Turkey</w:t>
      </w:r>
    </w:p>
    <w:bookmarkStart w:id="20" w:name="Xb452d984be6b66c58f0385295ce2c755d07abbb"/>
    <w:p>
      <w:pPr>
        <w:pStyle w:val="Heading1"/>
      </w:pPr>
      <w:r>
        <w:t xml:space="preserve">Experiment Protocol: Telecommunication Engineer Field Study</w:t>
      </w:r>
    </w:p>
    <w:p>
      <w:pPr>
        <w:pStyle w:val="FirstParagraph"/>
      </w:pPr>
      <w:r>
        <w:rPr>
          <w:bCs/>
          <w:b/>
        </w:rPr>
        <w:t xml:space="preserve">Location:</w:t>
      </w:r>
      <w:r>
        <w:t xml:space="preserve"> </w:t>
      </w:r>
      <w:r>
        <w:t xml:space="preserve">Istanbul, Turkey</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Telecommunications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guidelines for a comprehensive field study conducted by a Telecommunication Engineer in Istanbul, Turkey. The primary objective of this experiment is to evaluate the performance, reliability, and coverage of next-generation telecommunications networks (5G and advanced 4G LTE) across diverse urban and suburban environments within Istanbul.</w:t>
      </w:r>
    </w:p>
    <w:p>
      <w:pPr>
        <w:pStyle w:val="BodyText"/>
      </w:pPr>
      <w:r>
        <w:t xml:space="preserve">Istanbul, as a transcontinental metropolis with a complex geographical layout spanning Europe and Asia, presents unique challenges and opportunities for telecommunications infrastructure. This study aims to gather empirical data on signal propagation, network latency, bandwidth utilization, and interference patterns in high-density urban areas, historical districts with architectural constraints, and coastal regions with potential multipath fading issues.</w:t>
      </w:r>
    </w:p>
    <w:bookmarkEnd w:id="21"/>
    <w:bookmarkStart w:id="22" w:name="scope-and-study-area"/>
    <w:p>
      <w:pPr>
        <w:pStyle w:val="Heading2"/>
      </w:pPr>
      <w:r>
        <w:t xml:space="preserve">2. Scope and Study Area</w:t>
      </w:r>
    </w:p>
    <w:p>
      <w:pPr>
        <w:pStyle w:val="FirstParagraph"/>
      </w:pPr>
      <w:r>
        <w:t xml:space="preserve">The experiment will be conducted in selected districts of Istanbul, Turkey, including but not limited to:</w:t>
      </w:r>
    </w:p>
    <w:p>
      <w:pPr>
        <w:numPr>
          <w:ilvl w:val="0"/>
          <w:numId w:val="1001"/>
        </w:numPr>
        <w:pStyle w:val="Compact"/>
      </w:pPr>
      <w:r>
        <w:rPr>
          <w:bCs/>
          <w:b/>
        </w:rPr>
        <w:t xml:space="preserve">Taksim and Beyoğlu:</w:t>
      </w:r>
      <w:r>
        <w:t xml:space="preserve"> </w:t>
      </w:r>
      <w:r>
        <w:t xml:space="preserve">High-density urban environment with significant electromagnetic interference.</w:t>
      </w:r>
    </w:p>
    <w:p>
      <w:pPr>
        <w:numPr>
          <w:ilvl w:val="0"/>
          <w:numId w:val="1001"/>
        </w:numPr>
        <w:pStyle w:val="Compact"/>
      </w:pPr>
      <w:r>
        <w:rPr>
          <w:bCs/>
          <w:b/>
        </w:rPr>
        <w:t xml:space="preserve">Sultanahmet:</w:t>
      </w:r>
      <w:r>
        <w:t xml:space="preserve"> </w:t>
      </w:r>
      <w:r>
        <w:t xml:space="preserve">Historical district with dense stone architecture affecting signal penetration.</w:t>
      </w:r>
    </w:p>
    <w:p>
      <w:pPr>
        <w:numPr>
          <w:ilvl w:val="0"/>
          <w:numId w:val="1001"/>
        </w:numPr>
        <w:pStyle w:val="Compact"/>
      </w:pPr>
      <w:r>
        <w:rPr>
          <w:bCs/>
          <w:b/>
        </w:rPr>
        <w:t xml:space="preserve">Üsküdar and Kadıköy:</w:t>
      </w:r>
      <w:r>
        <w:t xml:space="preserve"> </w:t>
      </w:r>
      <w:r>
        <w:t xml:space="preserve">Asian side districts with mixed residential and commercial zones.</w:t>
      </w:r>
    </w:p>
    <w:p>
      <w:pPr>
        <w:numPr>
          <w:ilvl w:val="0"/>
          <w:numId w:val="1001"/>
        </w:numPr>
        <w:pStyle w:val="Compact"/>
      </w:pPr>
      <w:r>
        <w:rPr>
          <w:bCs/>
          <w:b/>
        </w:rPr>
        <w:t xml:space="preserve">Bosphorus Strait Corridor:</w:t>
      </w:r>
      <w:r>
        <w:t xml:space="preserve"> </w:t>
      </w:r>
      <w:r>
        <w:t xml:space="preserve">Coastal areas to assess signal behavior over water and between continents.</w:t>
      </w:r>
    </w:p>
    <w:p>
      <w:pPr>
        <w:pStyle w:val="FirstParagraph"/>
      </w:pPr>
      <w:r>
        <w:t xml:space="preserve">The Telecommunication Engineer will focus on both macro-cell and small-cell network performance, ensuring a holistic view of Istanbul’s telecommunications landscape.</w:t>
      </w:r>
    </w:p>
    <w:bookmarkEnd w:id="22"/>
    <w:bookmarkStart w:id="23" w:name="equipment-and-tools"/>
    <w:p>
      <w:pPr>
        <w:pStyle w:val="Heading2"/>
      </w:pPr>
      <w:r>
        <w:t xml:space="preserve">3. Equipment and Tools</w:t>
      </w:r>
    </w:p>
    <w:p>
      <w:pPr>
        <w:pStyle w:val="FirstParagraph"/>
      </w:pPr>
      <w:r>
        <w:t xml:space="preserve">The following equipment will be utilized by the Telecommunication Engineer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9 kHz – 6 GHz range</w:t>
            </w:r>
          </w:p>
        </w:tc>
        <w:tc>
          <w:tcPr/>
          <w:p>
            <w:pPr>
              <w:pStyle w:val="Compact"/>
              <w:jc w:val="left"/>
            </w:pPr>
            <w:r>
              <w:t xml:space="preserve">Signal strength and interference measurement</w:t>
            </w:r>
          </w:p>
        </w:tc>
      </w:tr>
      <w:tr>
        <w:tc>
          <w:tcPr/>
          <w:p>
            <w:pPr>
              <w:pStyle w:val="Compact"/>
              <w:jc w:val="left"/>
            </w:pPr>
            <w:r>
              <w:t xml:space="preserve">Network Testing Device</w:t>
            </w:r>
          </w:p>
        </w:tc>
        <w:tc>
          <w:tcPr/>
          <w:p>
            <w:pPr>
              <w:pStyle w:val="Compact"/>
              <w:jc w:val="left"/>
            </w:pPr>
            <w:r>
              <w:t xml:space="preserve">5G/4G compatible with GPS logging</w:t>
            </w:r>
          </w:p>
        </w:tc>
        <w:tc>
          <w:tcPr/>
          <w:p>
            <w:pPr>
              <w:pStyle w:val="Compact"/>
              <w:jc w:val="left"/>
            </w:pPr>
            <w:r>
              <w:t xml:space="preserve">Latency, throughput, and coverage mapping</w:t>
            </w:r>
          </w:p>
        </w:tc>
      </w:tr>
      <w:tr>
        <w:tc>
          <w:tcPr/>
          <w:p>
            <w:pPr>
              <w:pStyle w:val="Compact"/>
              <w:jc w:val="left"/>
            </w:pPr>
            <w:r>
              <w:t xml:space="preserve">Directional Antenna</w:t>
            </w:r>
          </w:p>
        </w:tc>
        <w:tc>
          <w:tcPr/>
          <w:p>
            <w:pPr>
              <w:pStyle w:val="Compact"/>
              <w:jc w:val="left"/>
            </w:pPr>
            <w:r>
              <w:t xml:space="preserve">High-gain, adjustable</w:t>
            </w:r>
          </w:p>
        </w:tc>
        <w:tc>
          <w:tcPr/>
          <w:p>
            <w:pPr>
              <w:pStyle w:val="Compact"/>
              <w:jc w:val="left"/>
            </w:pPr>
            <w:r>
              <w:t xml:space="preserve">Targeted signal acquisition</w:t>
            </w:r>
          </w:p>
        </w:tc>
      </w:tr>
      <w:tr>
        <w:tc>
          <w:tcPr/>
          <w:p>
            <w:pPr>
              <w:pStyle w:val="Compact"/>
              <w:jc w:val="left"/>
            </w:pPr>
            <w:r>
              <w:t xml:space="preserve">Laptop with Analysis Software</w:t>
            </w:r>
          </w:p>
        </w:tc>
        <w:tc>
          <w:tcPr/>
          <w:p>
            <w:pPr>
              <w:pStyle w:val="Compact"/>
              <w:jc w:val="left"/>
            </w:pPr>
            <w:r>
              <w:t xml:space="preserve">Preloaded with network simulation tools</w:t>
            </w:r>
          </w:p>
        </w:tc>
        <w:tc>
          <w:tcPr/>
          <w:p>
            <w:pPr>
              <w:pStyle w:val="Compact"/>
              <w:jc w:val="left"/>
            </w:pPr>
            <w:r>
              <w:t xml:space="preserve">Real-time data processing</w:t>
            </w:r>
          </w:p>
        </w:tc>
      </w:tr>
      <w:tr>
        <w:tc>
          <w:tcPr/>
          <w:p>
            <w:pPr>
              <w:pStyle w:val="Compact"/>
              <w:jc w:val="left"/>
            </w:pPr>
            <w:r>
              <w:t xml:space="preserve">Portable Power Supply</w:t>
            </w:r>
          </w:p>
        </w:tc>
        <w:tc>
          <w:tcPr/>
          <w:p>
            <w:pPr>
              <w:pStyle w:val="Compact"/>
              <w:jc w:val="left"/>
            </w:pPr>
            <w:r>
              <w:t xml:space="preserve">High-capacity battery pack</w:t>
            </w:r>
          </w:p>
        </w:tc>
        <w:tc>
          <w:tcPr/>
          <w:p>
            <w:pPr>
              <w:pStyle w:val="Compact"/>
              <w:jc w:val="left"/>
            </w:pPr>
            <w:r>
              <w:t xml:space="preserve">Ensuring uninterrupted operation</w:t>
            </w:r>
          </w:p>
        </w:tc>
      </w:tr>
    </w:tbl>
    <w:bookmarkEnd w:id="23"/>
    <w:bookmarkStart w:id="27" w:name="methodology"/>
    <w:p>
      <w:pPr>
        <w:pStyle w:val="Heading2"/>
      </w:pPr>
      <w:r>
        <w:t xml:space="preserve">4. Methodology</w:t>
      </w:r>
    </w:p>
    <w:p>
      <w:pPr>
        <w:pStyle w:val="FirstParagraph"/>
      </w:pPr>
      <w:r>
        <w:t xml:space="preserve">The experiment will be conducted in three phases:</w:t>
      </w:r>
    </w:p>
    <w:bookmarkStart w:id="24" w:name="phase-1-baseline-data-collection"/>
    <w:p>
      <w:pPr>
        <w:pStyle w:val="Heading3"/>
      </w:pPr>
      <w:r>
        <w:t xml:space="preserve">4.1 Phase 1: Baseline Data Collection</w:t>
      </w:r>
    </w:p>
    <w:p>
      <w:pPr>
        <w:pStyle w:val="FirstParagraph"/>
      </w:pPr>
      <w:r>
        <w:t xml:space="preserve">The Telecommunication Engineer will perform initial scans across predefined routes in Istanbul to establish baseline signal strength, noise levels, and network availability. Measurements will be taken at 100-meter intervals using GPS-tagged data points.</w:t>
      </w:r>
    </w:p>
    <w:bookmarkEnd w:id="24"/>
    <w:bookmarkStart w:id="25" w:name="phase-2-stress-testing-and-load-analysis"/>
    <w:p>
      <w:pPr>
        <w:pStyle w:val="Heading3"/>
      </w:pPr>
      <w:r>
        <w:t xml:space="preserve">4.2 Phase 2: Stress Testing and Load Analysis</w:t>
      </w:r>
    </w:p>
    <w:p>
      <w:pPr>
        <w:pStyle w:val="FirstParagraph"/>
      </w:pPr>
      <w:r>
        <w:t xml:space="preserve">During peak hours (08:00–10:00 and 18:00–20:00), the engineer will simulate high-traffic scenarios by running multiple concurrent data streams to assess network resilience and quality of service (QoS) under load.</w:t>
      </w:r>
    </w:p>
    <w:bookmarkEnd w:id="25"/>
    <w:bookmarkStart w:id="26" w:name="phase-3-comparative-analysis"/>
    <w:p>
      <w:pPr>
        <w:pStyle w:val="Heading3"/>
      </w:pPr>
      <w:r>
        <w:t xml:space="preserve">4.3 Phase 3: Comparative Analysis</w:t>
      </w:r>
    </w:p>
    <w:p>
      <w:pPr>
        <w:pStyle w:val="FirstParagraph"/>
      </w:pPr>
      <w:r>
        <w:t xml:space="preserve">Data collected from different districts will be compared to identify performance disparities, potential coverage gaps, and areas requiring infrastructure optimization. Special attention will be given to cross-Bosphorus connectivity and historical site accessibility.</w:t>
      </w:r>
    </w:p>
    <w:bookmarkEnd w:id="26"/>
    <w:bookmarkEnd w:id="27"/>
    <w:bookmarkStart w:id="28" w:name="safety-and-compliance"/>
    <w:p>
      <w:pPr>
        <w:pStyle w:val="Heading2"/>
      </w:pPr>
      <w:r>
        <w:t xml:space="preserve">5. Safety and Compliance</w:t>
      </w:r>
    </w:p>
    <w:p>
      <w:pPr>
        <w:pStyle w:val="FirstParagraph"/>
      </w:pPr>
      <w:r>
        <w:t xml:space="preserve">All procedures must comply with Turkish telecommunications regulations and international safety standards. The Telecommunication Engineer must:</w:t>
      </w:r>
    </w:p>
    <w:p>
      <w:pPr>
        <w:numPr>
          <w:ilvl w:val="0"/>
          <w:numId w:val="1002"/>
        </w:numPr>
        <w:pStyle w:val="Compact"/>
      </w:pPr>
      <w:r>
        <w:t xml:space="preserve">Obtain necessary permits from the Information and Communication Technologies Authority (BTK) of Turkey.</w:t>
      </w:r>
    </w:p>
    <w:p>
      <w:pPr>
        <w:numPr>
          <w:ilvl w:val="0"/>
          <w:numId w:val="1002"/>
        </w:numPr>
        <w:pStyle w:val="Compact"/>
      </w:pPr>
      <w:r>
        <w:t xml:space="preserve">Adhere to local traffic and pedestrian safety laws while conducting field measurements.</w:t>
      </w:r>
    </w:p>
    <w:p>
      <w:pPr>
        <w:numPr>
          <w:ilvl w:val="0"/>
          <w:numId w:val="1002"/>
        </w:numPr>
        <w:pStyle w:val="Compact"/>
      </w:pPr>
      <w:r>
        <w:t xml:space="preserve">Use personal protective equipment (PPE) when accessing elevated or restricted areas.</w:t>
      </w:r>
    </w:p>
    <w:p>
      <w:pPr>
        <w:numPr>
          <w:ilvl w:val="0"/>
          <w:numId w:val="1002"/>
        </w:numPr>
        <w:pStyle w:val="Compact"/>
      </w:pPr>
      <w:r>
        <w:t xml:space="preserve">Ensure all equipment is calibrated and certified for use in Turkey.</w:t>
      </w:r>
    </w:p>
    <w:bookmarkEnd w:id="28"/>
    <w:bookmarkStart w:id="29" w:name="data-management-and-reporting"/>
    <w:p>
      <w:pPr>
        <w:pStyle w:val="Heading2"/>
      </w:pPr>
      <w:r>
        <w:t xml:space="preserve">6. Data Management and Reporting</w:t>
      </w:r>
    </w:p>
    <w:p>
      <w:pPr>
        <w:pStyle w:val="FirstParagraph"/>
      </w:pPr>
      <w:r>
        <w:t xml:space="preserve">All data collected during the experiment will be securely stored and encrypted. The Telecommunication Engineer will compile a detailed report including:</w:t>
      </w:r>
    </w:p>
    <w:p>
      <w:pPr>
        <w:numPr>
          <w:ilvl w:val="0"/>
          <w:numId w:val="1003"/>
        </w:numPr>
        <w:pStyle w:val="Compact"/>
      </w:pPr>
      <w:r>
        <w:t xml:space="preserve">Signal coverage maps for each studied district.</w:t>
      </w:r>
    </w:p>
    <w:p>
      <w:pPr>
        <w:numPr>
          <w:ilvl w:val="0"/>
          <w:numId w:val="1003"/>
        </w:numPr>
        <w:pStyle w:val="Compact"/>
      </w:pPr>
      <w:r>
        <w:t xml:space="preserve">Statistical analysis of network performance metrics.</w:t>
      </w:r>
    </w:p>
    <w:p>
      <w:pPr>
        <w:numPr>
          <w:ilvl w:val="0"/>
          <w:numId w:val="1003"/>
        </w:numPr>
        <w:pStyle w:val="Compact"/>
      </w:pPr>
      <w:r>
        <w:t xml:space="preserve">Recommendations for infrastructure improvements tailored to Istanbul’s unique environment.</w:t>
      </w:r>
    </w:p>
    <w:p>
      <w:pPr>
        <w:pStyle w:val="FirstParagraph"/>
      </w:pPr>
      <w:r>
        <w:t xml:space="preserve">The final report will be submitted to the relevant stakeholders within 30 days of experiment completion.</w:t>
      </w:r>
    </w:p>
    <w:bookmarkEnd w:id="29"/>
    <w:bookmarkStart w:id="30" w:name="conclusion"/>
    <w:p>
      <w:pPr>
        <w:pStyle w:val="Heading2"/>
      </w:pPr>
      <w:r>
        <w:t xml:space="preserve">7. Conclusion</w:t>
      </w:r>
    </w:p>
    <w:p>
      <w:pPr>
        <w:pStyle w:val="FirstParagraph"/>
      </w:pPr>
      <w:r>
        <w:t xml:space="preserve">This Experiment Protocol provides a structured approach for a Telecommunication Engineer to conduct a rigorous field study in Istanbul, Turkey. By following these guidelines, the experiment will yield valuable insights into the current state and future needs of telecommunications infrastructure in one of the world’s most dynamic cities.</w:t>
      </w:r>
    </w:p>
    <w:bookmarkEnd w:id="30"/>
    <w:p>
      <w:pPr>
        <w:pStyle w:val="BodyText"/>
      </w:pPr>
      <w:r>
        <w:t xml:space="preserve">© 2023 Telecommunications Research Division. All rights reserved.</w:t>
      </w:r>
    </w:p>
    <w:p>
      <w:pPr>
        <w:pStyle w:val="BodyText"/>
      </w:pPr>
      <w:r>
        <w:t xml:space="preserve">Document Classification: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Study - Istanbul, Turkey</dc:title>
  <dc:creator/>
  <dc:language>en</dc:language>
  <cp:keywords/>
  <dcterms:created xsi:type="dcterms:W3CDTF">2026-10-10T05:03:04Z</dcterms:created>
  <dcterms:modified xsi:type="dcterms:W3CDTF">2026-10-10T05:03:04Z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